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B7C5D">
      <w:pPr>
        <w:spacing w:before="156" w:beforeLines="50" w:after="312" w:afterLines="100" w:line="400" w:lineRule="exact"/>
        <w:jc w:val="center"/>
        <w:rPr>
          <w:rFonts w:hint="eastAsia" w:ascii="宋体" w:hAnsi="宋体" w:eastAsia="宋体" w:cs="宋体"/>
          <w:b/>
          <w:bCs/>
          <w:sz w:val="32"/>
          <w:szCs w:val="32"/>
        </w:rPr>
      </w:pPr>
      <w:r>
        <w:rPr>
          <w:rFonts w:hint="eastAsia" w:ascii="宋体" w:hAnsi="宋体" w:eastAsia="宋体" w:cs="宋体"/>
          <w:b/>
          <w:bCs/>
          <w:sz w:val="32"/>
          <w:szCs w:val="32"/>
        </w:rPr>
        <w:t>中科多媒体教育资源数据库简介</w:t>
      </w:r>
    </w:p>
    <w:p w14:paraId="6A18A854">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科多媒体教育资源数据库”可以为大学生构建一个高效、实用、便捷的终身学习资源平台，包含中科VIPExam考试学习资源数据库、中科UMajor大学专业课学习资源数据库、中科JobLib就业与创业创新知识总库三个子库。三个子库既相互独立、又相辅相成，从大学生的专业学科知识学习，到各类职业资格证书的复习备考，再到毕业就业及创业的能力</w:t>
      </w:r>
      <w:bookmarkStart w:id="1" w:name="_GoBack"/>
      <w:bookmarkEnd w:id="1"/>
      <w:r>
        <w:rPr>
          <w:rFonts w:hint="eastAsia" w:ascii="宋体" w:hAnsi="宋体" w:eastAsia="宋体" w:cs="宋体"/>
          <w:sz w:val="24"/>
          <w:szCs w:val="24"/>
        </w:rPr>
        <w:t>提升，形成了覆盖大学生学习与就业需求的全面覆盖，并提供了</w:t>
      </w:r>
      <w:r>
        <w:rPr>
          <w:rFonts w:hint="eastAsia" w:ascii="宋体" w:hAnsi="宋体" w:eastAsia="宋体" w:cs="宋体"/>
          <w:sz w:val="24"/>
          <w:szCs w:val="24"/>
          <w:lang w:val="en-US" w:eastAsia="zh-CN"/>
        </w:rPr>
        <w:t>试卷中心</w:t>
      </w:r>
      <w:r>
        <w:rPr>
          <w:rFonts w:hint="eastAsia" w:ascii="宋体" w:hAnsi="宋体" w:eastAsia="宋体" w:cs="宋体"/>
          <w:sz w:val="24"/>
          <w:szCs w:val="24"/>
        </w:rPr>
        <w:t>、错题自动记录、错题重新组卷、</w:t>
      </w:r>
      <w:r>
        <w:rPr>
          <w:rFonts w:hint="eastAsia" w:ascii="宋体" w:hAnsi="宋体" w:eastAsia="宋体" w:cs="宋体"/>
          <w:sz w:val="24"/>
          <w:szCs w:val="24"/>
          <w:lang w:val="en-US" w:eastAsia="zh-CN"/>
        </w:rPr>
        <w:t>学习进展</w:t>
      </w:r>
      <w:r>
        <w:rPr>
          <w:rFonts w:hint="eastAsia" w:ascii="宋体" w:hAnsi="宋体" w:eastAsia="宋体" w:cs="宋体"/>
          <w:sz w:val="24"/>
          <w:szCs w:val="24"/>
        </w:rPr>
        <w:t>、</w:t>
      </w:r>
      <w:r>
        <w:rPr>
          <w:rFonts w:hint="eastAsia" w:ascii="宋体" w:hAnsi="宋体" w:eastAsia="宋体" w:cs="宋体"/>
          <w:sz w:val="24"/>
          <w:szCs w:val="24"/>
          <w:lang w:val="en-US" w:eastAsia="zh-CN"/>
        </w:rPr>
        <w:t>学习计划、</w:t>
      </w:r>
      <w:r>
        <w:rPr>
          <w:rFonts w:hint="eastAsia" w:ascii="宋体" w:hAnsi="宋体" w:eastAsia="宋体" w:cs="宋体"/>
          <w:sz w:val="24"/>
          <w:szCs w:val="24"/>
        </w:rPr>
        <w:t>移动端学习等便利的学习工具，便于学生充分利用碎片化时间开展自主学习。</w:t>
      </w:r>
    </w:p>
    <w:p w14:paraId="24966CE3">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一、中科VIPExam考试学习资源数据库简介</w:t>
      </w:r>
    </w:p>
    <w:p w14:paraId="632446F3">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科VIPExam考试学习资源数据库”(简称VIPExam考试库)是以精品视频课程为核心资源的，以切实提升学生职业技能、提高学生就业竞争力为核心目标的，集在线学习、同步自测、复习备考、职业技能鉴定于一体的新一代职业教育数据库。</w:t>
      </w:r>
    </w:p>
    <w:p w14:paraId="593DDE64">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作为目前国内视频课程量最大的职业教育数据库，VIPExam考试库依托权威专业的师资力量，现已建成立体化、专题式、多层次的课程体系，收录外语、计算机、考研、公务员、职业资格、财经、工程、司法、医学、专升本、自考、实用职业技能等12大专辑2200余个考试科目，并根据产业发展新形势和社会对技术技能人才的新需求，持续开发优质数字教学资源。</w:t>
      </w:r>
    </w:p>
    <w:p w14:paraId="525CCAA3">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VIPExam考试库聚焦专业知识、职业技能、职业精神的有机融合，通过构建数字技术与职业教育深度交融、耦合驱动的创新发展模式，在全面且权威的视频课程及试卷等学习资源的基础之上，还提供了课程学练、答卷自测、学习进展、错题记录、错题组卷、专项练习等自主学习功能，从而搭建出“人人皆学、处处能学、时时可学”的学习场景。知识体系健全、资源丰富全面、版权合法清晰、学习功能强大，使得VIPExam考试库不仅成为真正意义上的大学生学习智库，更是可以切实帮助广大青年学生增强职业素养、提升职业技能、拓展就业创业本领。</w:t>
      </w:r>
    </w:p>
    <w:p w14:paraId="5BF81DB5">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 数据库资源特色</w:t>
      </w:r>
    </w:p>
    <w:p w14:paraId="7A2D2D74">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（1）知识体系 科学完整</w:t>
      </w:r>
    </w:p>
    <w:p w14:paraId="1C7758B2">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中科VIPExam考试学习资源数据库以及“X证书”课程体系以《国家职业教育改革实施方案》为纲，基于“课证融合、双证融通”理念构建出涵盖外语、计算机、考研、公务员、司法、财经、工程、医学、职业资格、实用职业技能、专升本、自考共计十二大专辑2200余个科目细类的完整知识体系，资源建设注重理论性与实践性相结合，全面满足学生的自主学习、个性化学习、模块化学习的需求。</w:t>
      </w:r>
    </w:p>
    <w:p w14:paraId="4B9132FA">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（2）授课专家 阵容强大</w:t>
      </w:r>
    </w:p>
    <w:p w14:paraId="30F2E8EA">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VIPExam考试库内的全部课程均由A股上市公司“开元教育（300338）”、对啊网、极客学院等知名教培机构名师精心录制，教学团队经验丰富，课程内容丰富实用，助力广大青年学生走技能成才、技能报国之路。</w:t>
      </w:r>
    </w:p>
    <w:p w14:paraId="17A1D140">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（3）教学资源 类型丰富</w:t>
      </w:r>
    </w:p>
    <w:p w14:paraId="072BF1CA">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VIPExam考试库既为学生提供了精品视频课程，又提供了历年真题与模拟试卷等学习资源，并通过“知识元链接”对各类学习资源进行高效整合，既便于学生开展个性化自主学习，同时也能为教师加强职业教育研究、创新职业教育方式方法提供权威、全面的资源保障，从而便于教师在教学过程中将价值引领与知识传授、能力培养进行有机融合、相互渗透，实现立德树人的润物无声。</w:t>
      </w:r>
    </w:p>
    <w:p w14:paraId="1CAD9B27">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知识产权 清晰合法</w:t>
      </w:r>
    </w:p>
    <w:p w14:paraId="3FFE9588">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资源到平台、从设计到研发、从选题到制作，VIPExam考试库版权清晰、内容原创、资源来源合法，并拥有软件著作权证书、软件产品证书、版权授权书等多项版权证明材料。同时，VIPExam考试库的研发机构“中科软股教育科技（北京）股份有限公司”是中国版权协会常务理事单位，也是在全国中高等教育以及公共文化领域内唯一得到中央党校出版集团国家行政学院音像出版社的思政课程、A股上市公司“开元教育（300338）”的职业技能课程合法授权的合作机构。</w:t>
      </w:r>
    </w:p>
    <w:p w14:paraId="05723BAF">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视频量大 更新及时</w:t>
      </w:r>
    </w:p>
    <w:p w14:paraId="29A2CA1D">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为目前国内视频课程量最大的职业教育数据库，VIPExam考试库依托权威专业的师资力量，现已建成立体化、专题式、多层次的课程体系，收录外语、计算机、考研、公务员、职业资格、财经、工程、司法、医学、专升本、自考、实用职业技能等12大专辑2200余个考试科目，并根据产业发展新形势和社会对技术技能人才的新需求，持续开发优质数字教学资源。</w:t>
      </w:r>
    </w:p>
    <w:p w14:paraId="214A9AD8">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为便于广大用户监督和查询数据库内的视频课程以及其他资源的更新情况，VIPExam考试库提供了“资源统计”功能，用户可以实时查询数据库内各科目的资源总量和资源更新情况。</w:t>
      </w:r>
    </w:p>
    <w:p w14:paraId="6FB0DDD2">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2. 数据库平台功能特色</w:t>
      </w:r>
    </w:p>
    <w:p w14:paraId="3D67E707">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（1）课程学练</w:t>
      </w:r>
    </w:p>
    <w:p w14:paraId="40F7C491">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VIPExam考试库通过“知识元链接”来引导和鼓励学生的“双向学习”模式，学生观看视频课程之后及时作答同步练习题、对于不懂不会或答错试题可以随时查看相应的视频课程辅导，以加强学生对于知识点的理解与掌握，帮助学生在学与练的过程中牢固掌握知识点，进而提高学习成效。</w:t>
      </w:r>
    </w:p>
    <w:p w14:paraId="0F5569BE">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（2）错题记录</w:t>
      </w:r>
    </w:p>
    <w:p w14:paraId="548144F6">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错题记录”是VIPExam考试库的一项非常实用的、独有的学习功能。学生在答卷练习的过程中，凡是答错的试题（指单个“试题”，并非整套“试卷”）都将被自动保存到“错题记录”中，便于学生随时进行分析总结和强化记忆。“错题记录”在极大程度上便于学生找出自己学习中的薄弱环节，使学习重点更加突出、学习更加有针对性，进而巩固知识基础。</w:t>
      </w:r>
    </w:p>
    <w:p w14:paraId="613FF7B6">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（3）错题组卷</w:t>
      </w:r>
    </w:p>
    <w:p w14:paraId="2017A390">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错题组卷”是“错题记录”功能的扩展和延伸。通过“错题组卷”功能，学生可以抽选某一科目下的任意题型、任意数量的“错题”，将其重新组成一套试卷供自己再次练习。因为该试卷内的试题均为自己以往做错的试题，因此对于检验学生对知识点的掌握程度、验证学习效果将会有极大的帮助。</w:t>
      </w:r>
    </w:p>
    <w:p w14:paraId="0B3710BE">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（4）学习进展</w:t>
      </w:r>
    </w:p>
    <w:p w14:paraId="39F9EA56">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习进展”包括课程学习进展统计、学习时间分配统计、答题自测成绩曲线、视频课程学习记录、答卷自测记录、学习进展总体分析等子功能。通过统计分析用户的学习行为、学习进展、时间分配、成绩曲线等数据，VIPExam考试库为处于不同学习阶段的学生进行智能化推荐视频课程、习题以及相关知识点；同时通过对学生学习模式的分析与直观展示，帮助学生查缺补漏、量化了解自身学习进展，并最终掌握系统化的知识体系。</w:t>
      </w:r>
    </w:p>
    <w:p w14:paraId="7EBD7775">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（5）检索系</w:t>
      </w:r>
      <w:r>
        <w:rPr>
          <w:rFonts w:hint="eastAsia" w:ascii="宋体" w:hAnsi="宋体" w:eastAsia="宋体" w:cs="宋体"/>
          <w:sz w:val="24"/>
          <w:szCs w:val="24"/>
          <w:lang w:val="en-US" w:eastAsia="zh-CN"/>
        </w:rPr>
        <w:t>统</w:t>
      </w:r>
    </w:p>
    <w:p w14:paraId="48FF1261">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索功能是数据库的必备功能。检索功能是否完备，将会直接影响用户对数据库的使用效率。因此，VIPExam考试库为用户提供了全面且细致的检索工具，包括快速检索、标准检索、高级检索、学科导航检索、名师导航检索共五种检索工具，并提供了专辑、资源类型、发布时间、课程名称、课程类型、章节名称、主讲教师等十余项检索字段，从而有效提高数据库的查全率和查准率。</w:t>
      </w:r>
    </w:p>
    <w:p w14:paraId="6A8291DF">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）移动服务</w:t>
      </w:r>
    </w:p>
    <w:p w14:paraId="69119CA1">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为便于不同类型的用户在不同场景下随时随地使用，中科VIPExam考试学习资源数据库开创性地提供了“全模式全贯通”服务模式，即同时为用户提供了电脑WEB端、微信端、手机WAP端、安卓APP端、苹果APP端等应用端。</w:t>
      </w:r>
    </w:p>
    <w:p w14:paraId="22E38240">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应用端的数据互联互通，用户仅需注册一个账户，即可畅游VIPExam考试库的全部应用端，实现在手机、平板、电脑应用场景下的无缝切换；并且用户的学习记录与个性化学习资源自动关联更新，真正实现随时随地想学即学。</w:t>
      </w:r>
    </w:p>
    <w:p w14:paraId="37163918">
      <w:pPr>
        <w:adjustRightInd w:val="0"/>
        <w:snapToGrid w:val="0"/>
        <w:spacing w:line="360" w:lineRule="exact"/>
        <w:ind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rPr>
        <w:t>3.</w:t>
      </w:r>
      <w:r>
        <w:rPr>
          <w:rFonts w:hint="eastAsia" w:ascii="宋体" w:hAnsi="宋体" w:eastAsia="宋体" w:cs="宋体"/>
          <w:b/>
          <w:sz w:val="24"/>
          <w:szCs w:val="24"/>
          <w:lang w:eastAsia="zh-CN"/>
        </w:rPr>
        <w:t>《</w:t>
      </w:r>
      <w:r>
        <w:rPr>
          <w:rFonts w:hint="eastAsia" w:ascii="宋体" w:hAnsi="宋体" w:eastAsia="宋体" w:cs="宋体"/>
          <w:b/>
          <w:sz w:val="24"/>
          <w:szCs w:val="24"/>
        </w:rPr>
        <w:t>中科VIPExam考试学习资源数据库</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知识体系</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6853"/>
      </w:tblGrid>
      <w:tr w14:paraId="4767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shd w:val="clear" w:color="auto" w:fill="CCECFF"/>
            <w:noWrap w:val="0"/>
            <w:vAlign w:val="center"/>
          </w:tcPr>
          <w:p w14:paraId="771F5A69">
            <w:pPr>
              <w:spacing w:before="93" w:beforeLines="30" w:after="93" w:afterLines="30" w:line="400" w:lineRule="exact"/>
              <w:jc w:val="center"/>
              <w:rPr>
                <w:rFonts w:hint="eastAsia" w:ascii="宋体" w:hAnsi="宋体" w:eastAsia="宋体" w:cs="宋体"/>
                <w:b/>
                <w:sz w:val="24"/>
                <w:szCs w:val="24"/>
              </w:rPr>
            </w:pPr>
            <w:r>
              <w:rPr>
                <w:rFonts w:hint="eastAsia" w:ascii="宋体" w:hAnsi="宋体" w:eastAsia="宋体" w:cs="宋体"/>
                <w:b/>
                <w:sz w:val="24"/>
                <w:szCs w:val="24"/>
              </w:rPr>
              <w:t>专辑</w:t>
            </w:r>
          </w:p>
        </w:tc>
        <w:tc>
          <w:tcPr>
            <w:tcW w:w="7108" w:type="dxa"/>
            <w:shd w:val="clear" w:color="auto" w:fill="CCECFF"/>
            <w:noWrap w:val="0"/>
            <w:vAlign w:val="center"/>
          </w:tcPr>
          <w:p w14:paraId="50805E03">
            <w:pPr>
              <w:spacing w:before="156" w:beforeLines="50" w:after="156" w:afterLines="50" w:line="520" w:lineRule="exact"/>
              <w:jc w:val="center"/>
              <w:rPr>
                <w:rFonts w:hint="eastAsia" w:ascii="宋体" w:hAnsi="宋体" w:eastAsia="宋体" w:cs="宋体"/>
                <w:b/>
                <w:sz w:val="24"/>
                <w:szCs w:val="24"/>
              </w:rPr>
            </w:pPr>
            <w:r>
              <w:rPr>
                <w:rFonts w:hint="eastAsia" w:ascii="宋体" w:hAnsi="宋体" w:eastAsia="宋体" w:cs="宋体"/>
                <w:b/>
                <w:sz w:val="24"/>
                <w:szCs w:val="24"/>
              </w:rPr>
              <w:t>重点收录科目</w:t>
            </w:r>
          </w:p>
        </w:tc>
      </w:tr>
      <w:tr w14:paraId="318A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noWrap w:val="0"/>
            <w:vAlign w:val="center"/>
          </w:tcPr>
          <w:p w14:paraId="639FD2A4">
            <w:pPr>
              <w:spacing w:before="93" w:beforeLines="30" w:after="93" w:afterLines="30" w:line="400" w:lineRule="exact"/>
              <w:jc w:val="center"/>
              <w:rPr>
                <w:rFonts w:hint="eastAsia" w:ascii="宋体" w:hAnsi="宋体"/>
                <w:sz w:val="24"/>
              </w:rPr>
            </w:pPr>
            <w:r>
              <w:rPr>
                <w:rFonts w:hint="eastAsia" w:ascii="宋体" w:hAnsi="宋体"/>
                <w:b/>
                <w:sz w:val="24"/>
              </w:rPr>
              <w:t>外语</w:t>
            </w:r>
          </w:p>
        </w:tc>
        <w:tc>
          <w:tcPr>
            <w:tcW w:w="7108" w:type="dxa"/>
            <w:noWrap w:val="0"/>
            <w:vAlign w:val="center"/>
          </w:tcPr>
          <w:p w14:paraId="2EE56052">
            <w:pPr>
              <w:spacing w:before="93" w:beforeLines="30" w:after="93" w:afterLines="30" w:line="440" w:lineRule="exact"/>
              <w:rPr>
                <w:rFonts w:hint="eastAsia" w:ascii="宋体" w:hAnsi="宋体"/>
                <w:szCs w:val="21"/>
              </w:rPr>
            </w:pPr>
            <w:r>
              <w:rPr>
                <w:rFonts w:hint="eastAsia" w:ascii="宋体" w:hAnsi="宋体"/>
                <w:bCs/>
                <w:szCs w:val="21"/>
              </w:rPr>
              <w:t>大学英语四/六级、专业英语四级/八级、大学英语三级、</w:t>
            </w:r>
            <w:r>
              <w:rPr>
                <w:rFonts w:ascii="宋体" w:hAnsi="宋体"/>
                <w:bCs/>
                <w:szCs w:val="21"/>
              </w:rPr>
              <w:t>TOEFL(</w:t>
            </w:r>
            <w:r>
              <w:rPr>
                <w:rFonts w:hint="eastAsia" w:ascii="宋体" w:hAnsi="宋体"/>
                <w:bCs/>
                <w:szCs w:val="21"/>
              </w:rPr>
              <w:t>托福</w:t>
            </w:r>
            <w:r>
              <w:rPr>
                <w:rFonts w:ascii="宋体" w:hAnsi="宋体"/>
                <w:bCs/>
                <w:szCs w:val="21"/>
              </w:rPr>
              <w:t>)</w:t>
            </w:r>
            <w:r>
              <w:rPr>
                <w:rFonts w:hint="eastAsia" w:ascii="宋体" w:hAnsi="宋体"/>
                <w:bCs/>
                <w:szCs w:val="21"/>
              </w:rPr>
              <w:t>、</w:t>
            </w:r>
            <w:r>
              <w:rPr>
                <w:rFonts w:ascii="宋体" w:hAnsi="宋体"/>
                <w:bCs/>
                <w:szCs w:val="21"/>
              </w:rPr>
              <w:t>IELTS(</w:t>
            </w:r>
            <w:r>
              <w:rPr>
                <w:rFonts w:hint="eastAsia" w:ascii="宋体" w:hAnsi="宋体"/>
                <w:bCs/>
                <w:szCs w:val="21"/>
              </w:rPr>
              <w:t>雅思</w:t>
            </w:r>
            <w:r>
              <w:rPr>
                <w:rFonts w:ascii="宋体" w:hAnsi="宋体"/>
                <w:bCs/>
                <w:szCs w:val="21"/>
              </w:rPr>
              <w:t>)</w:t>
            </w:r>
            <w:r>
              <w:rPr>
                <w:rFonts w:hint="eastAsia" w:ascii="宋体" w:hAnsi="宋体"/>
                <w:bCs/>
                <w:szCs w:val="21"/>
              </w:rPr>
              <w:t>、GRE、GMAT、PETS公共英语、职称英语、翻译专业资格CATTI、</w:t>
            </w:r>
            <w:r>
              <w:rPr>
                <w:rFonts w:ascii="宋体" w:hAnsi="宋体"/>
                <w:bCs/>
                <w:szCs w:val="21"/>
              </w:rPr>
              <w:t>BEC</w:t>
            </w:r>
            <w:r>
              <w:rPr>
                <w:rFonts w:hint="eastAsia" w:ascii="宋体" w:hAnsi="宋体"/>
                <w:bCs/>
                <w:szCs w:val="21"/>
              </w:rPr>
              <w:t>商务英语、金融英语FECT、在职硕士英语、小语种…</w:t>
            </w:r>
          </w:p>
        </w:tc>
      </w:tr>
      <w:tr w14:paraId="2998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noWrap w:val="0"/>
            <w:vAlign w:val="center"/>
          </w:tcPr>
          <w:p w14:paraId="3D9A39BB">
            <w:pPr>
              <w:spacing w:before="93" w:beforeLines="30" w:after="93" w:afterLines="30" w:line="400" w:lineRule="exact"/>
              <w:jc w:val="center"/>
              <w:rPr>
                <w:rFonts w:hint="eastAsia" w:ascii="宋体" w:hAnsi="宋体"/>
                <w:sz w:val="24"/>
              </w:rPr>
            </w:pPr>
            <w:r>
              <w:rPr>
                <w:rFonts w:hint="eastAsia" w:ascii="宋体" w:hAnsi="宋体"/>
                <w:b/>
                <w:sz w:val="24"/>
              </w:rPr>
              <w:t>计算机</w:t>
            </w:r>
          </w:p>
        </w:tc>
        <w:tc>
          <w:tcPr>
            <w:tcW w:w="7108" w:type="dxa"/>
            <w:noWrap w:val="0"/>
            <w:vAlign w:val="center"/>
          </w:tcPr>
          <w:p w14:paraId="62BEF303">
            <w:pPr>
              <w:spacing w:before="93" w:beforeLines="30" w:after="93" w:afterLines="30" w:line="440" w:lineRule="exact"/>
              <w:rPr>
                <w:rFonts w:ascii="宋体" w:hAnsi="宋体"/>
                <w:bCs/>
                <w:szCs w:val="21"/>
              </w:rPr>
            </w:pPr>
            <w:r>
              <w:rPr>
                <w:rFonts w:hint="eastAsia" w:ascii="宋体" w:hAnsi="宋体"/>
                <w:bCs/>
                <w:szCs w:val="21"/>
              </w:rPr>
              <w:t>NCRE全国计算机等级、微软认证、思科认证、北大青鸟认证、CCT全国高校计算机一级/二级、职称计算机、CISSP认证、程序员笔试面试…</w:t>
            </w:r>
          </w:p>
        </w:tc>
      </w:tr>
      <w:tr w14:paraId="1732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noWrap w:val="0"/>
            <w:vAlign w:val="center"/>
          </w:tcPr>
          <w:p w14:paraId="6A417EBD">
            <w:pPr>
              <w:spacing w:before="93" w:beforeLines="30" w:after="93" w:afterLines="30" w:line="400" w:lineRule="exact"/>
              <w:jc w:val="center"/>
              <w:rPr>
                <w:rFonts w:hint="eastAsia" w:ascii="宋体" w:hAnsi="宋体"/>
                <w:sz w:val="24"/>
              </w:rPr>
            </w:pPr>
            <w:r>
              <w:rPr>
                <w:rFonts w:hint="eastAsia" w:ascii="宋体" w:hAnsi="宋体"/>
                <w:b/>
                <w:sz w:val="24"/>
              </w:rPr>
              <w:t>考研</w:t>
            </w:r>
          </w:p>
        </w:tc>
        <w:tc>
          <w:tcPr>
            <w:tcW w:w="7108" w:type="dxa"/>
            <w:noWrap w:val="0"/>
            <w:vAlign w:val="center"/>
          </w:tcPr>
          <w:p w14:paraId="55814A20">
            <w:pPr>
              <w:spacing w:before="93" w:beforeLines="30" w:after="93" w:afterLines="30" w:line="440" w:lineRule="exact"/>
              <w:rPr>
                <w:rFonts w:hint="eastAsia" w:ascii="宋体" w:hAnsi="宋体"/>
                <w:bCs/>
                <w:szCs w:val="21"/>
              </w:rPr>
            </w:pPr>
            <w:r>
              <w:rPr>
                <w:rFonts w:hint="eastAsia" w:ascii="宋体" w:hAnsi="宋体"/>
                <w:bCs/>
                <w:szCs w:val="21"/>
              </w:rPr>
              <w:t>考研英语一/英语二、考研政治、考研数学一/数学二/数学三、考博英语、专业硕士（管理联考/经济联考/教育硕士/法律硕士/金融硕士/税务硕士/艺术硕士/MBA/MPA）、学硕统考专业、同等学力…</w:t>
            </w:r>
          </w:p>
        </w:tc>
      </w:tr>
      <w:tr w14:paraId="2870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noWrap w:val="0"/>
            <w:vAlign w:val="center"/>
          </w:tcPr>
          <w:p w14:paraId="78767E92">
            <w:pPr>
              <w:spacing w:before="93" w:beforeLines="30" w:after="93" w:afterLines="30" w:line="400" w:lineRule="exact"/>
              <w:jc w:val="center"/>
              <w:rPr>
                <w:rFonts w:hint="eastAsia" w:ascii="宋体" w:hAnsi="宋体"/>
                <w:sz w:val="24"/>
              </w:rPr>
            </w:pPr>
            <w:r>
              <w:rPr>
                <w:rFonts w:hint="eastAsia" w:ascii="宋体" w:hAnsi="宋体"/>
                <w:b/>
                <w:sz w:val="24"/>
              </w:rPr>
              <w:t>公务员</w:t>
            </w:r>
          </w:p>
        </w:tc>
        <w:tc>
          <w:tcPr>
            <w:tcW w:w="7108" w:type="dxa"/>
            <w:noWrap w:val="0"/>
            <w:vAlign w:val="center"/>
          </w:tcPr>
          <w:p w14:paraId="476BE6E1">
            <w:pPr>
              <w:spacing w:before="93" w:beforeLines="30" w:after="93" w:afterLines="30" w:line="440" w:lineRule="exact"/>
              <w:rPr>
                <w:rFonts w:hint="eastAsia" w:ascii="宋体" w:hAnsi="宋体" w:cs="宋体"/>
                <w:szCs w:val="21"/>
              </w:rPr>
            </w:pPr>
            <w:r>
              <w:rPr>
                <w:rFonts w:hint="eastAsia" w:ascii="宋体" w:hAnsi="宋体"/>
                <w:bCs/>
                <w:szCs w:val="21"/>
              </w:rPr>
              <w:t>国家公务员、地方公务员、选调生、三支一扶、大学生村官、公选、教师招聘、政法干警招录、军队文职、事业单位、社区工作者…</w:t>
            </w:r>
          </w:p>
        </w:tc>
      </w:tr>
      <w:tr w14:paraId="7A9D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noWrap w:val="0"/>
            <w:vAlign w:val="center"/>
          </w:tcPr>
          <w:p w14:paraId="1DD3C8BF">
            <w:pPr>
              <w:spacing w:before="93" w:beforeLines="30" w:after="93" w:afterLines="30" w:line="400" w:lineRule="exact"/>
              <w:jc w:val="center"/>
              <w:rPr>
                <w:rFonts w:hint="eastAsia" w:ascii="宋体" w:hAnsi="宋体"/>
                <w:sz w:val="24"/>
              </w:rPr>
            </w:pPr>
            <w:r>
              <w:rPr>
                <w:rFonts w:hint="eastAsia" w:ascii="宋体" w:hAnsi="宋体"/>
                <w:b/>
                <w:sz w:val="24"/>
              </w:rPr>
              <w:t>职业资格</w:t>
            </w:r>
          </w:p>
        </w:tc>
        <w:tc>
          <w:tcPr>
            <w:tcW w:w="7108" w:type="dxa"/>
            <w:noWrap w:val="0"/>
            <w:vAlign w:val="center"/>
          </w:tcPr>
          <w:p w14:paraId="5AE4CEA5">
            <w:pPr>
              <w:spacing w:before="93" w:beforeLines="30" w:after="93" w:afterLines="30" w:line="440" w:lineRule="exact"/>
              <w:rPr>
                <w:rFonts w:ascii="宋体" w:hAnsi="宋体"/>
                <w:bCs/>
                <w:szCs w:val="21"/>
              </w:rPr>
            </w:pPr>
            <w:r>
              <w:rPr>
                <w:rFonts w:hint="eastAsia" w:ascii="宋体" w:hAnsi="宋体"/>
                <w:bCs/>
                <w:szCs w:val="21"/>
              </w:rPr>
              <w:t>教师资格、营销师、心理咨询师、企业培训师、企业人力资源管理师、企业信息管理师、广告设计师、社会工作师、秘书资格、物流师、导游资格、项目管理师、质量专业技术职业资格、出版专业职业资格、公共营养师…</w:t>
            </w:r>
          </w:p>
        </w:tc>
      </w:tr>
      <w:tr w14:paraId="35E7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noWrap w:val="0"/>
            <w:vAlign w:val="center"/>
          </w:tcPr>
          <w:p w14:paraId="40827ED1">
            <w:pPr>
              <w:spacing w:before="93" w:beforeLines="30" w:after="93" w:afterLines="30" w:line="400" w:lineRule="exact"/>
              <w:jc w:val="center"/>
              <w:rPr>
                <w:rFonts w:hint="eastAsia" w:ascii="宋体" w:hAnsi="宋体"/>
                <w:sz w:val="24"/>
              </w:rPr>
            </w:pPr>
            <w:r>
              <w:rPr>
                <w:rFonts w:hint="eastAsia" w:ascii="宋体" w:hAnsi="宋体"/>
                <w:b/>
                <w:sz w:val="24"/>
              </w:rPr>
              <w:t>财经</w:t>
            </w:r>
          </w:p>
        </w:tc>
        <w:tc>
          <w:tcPr>
            <w:tcW w:w="7108" w:type="dxa"/>
            <w:noWrap w:val="0"/>
            <w:vAlign w:val="center"/>
          </w:tcPr>
          <w:p w14:paraId="5F3AE75F">
            <w:pPr>
              <w:spacing w:before="93" w:beforeLines="30" w:after="93" w:afterLines="30" w:line="440" w:lineRule="exact"/>
              <w:rPr>
                <w:rFonts w:hint="eastAsia" w:ascii="宋体" w:hAnsi="宋体"/>
                <w:bCs/>
                <w:szCs w:val="21"/>
              </w:rPr>
            </w:pPr>
            <w:r>
              <w:rPr>
                <w:rFonts w:hint="eastAsia" w:ascii="宋体" w:hAnsi="宋体"/>
                <w:bCs/>
                <w:szCs w:val="21"/>
              </w:rPr>
              <w:t>注册会计师、会计专业技术资格（初级/中级/高级）、统计师、审计师、经济师（初级/中级/高级）、税务师、银行专业人员职业资格、基金从业资格、期货从业资格、统计从业资格、资产评估师、金融理财师、国际商务单证员、报关水平测试、报检水平测试、外贸跟单员、国际商务师…</w:t>
            </w:r>
          </w:p>
        </w:tc>
      </w:tr>
      <w:tr w14:paraId="072A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noWrap w:val="0"/>
            <w:vAlign w:val="center"/>
          </w:tcPr>
          <w:p w14:paraId="2EC4D4DC">
            <w:pPr>
              <w:spacing w:before="93" w:beforeLines="30" w:after="93" w:afterLines="30" w:line="400" w:lineRule="exact"/>
              <w:jc w:val="center"/>
              <w:rPr>
                <w:rFonts w:hint="eastAsia" w:ascii="宋体" w:hAnsi="宋体"/>
                <w:sz w:val="24"/>
              </w:rPr>
            </w:pPr>
            <w:r>
              <w:rPr>
                <w:rFonts w:hint="eastAsia" w:ascii="宋体" w:hAnsi="宋体"/>
                <w:b/>
                <w:sz w:val="24"/>
              </w:rPr>
              <w:t>工程</w:t>
            </w:r>
          </w:p>
        </w:tc>
        <w:tc>
          <w:tcPr>
            <w:tcW w:w="7108" w:type="dxa"/>
            <w:noWrap w:val="0"/>
            <w:vAlign w:val="center"/>
          </w:tcPr>
          <w:p w14:paraId="52322F4C">
            <w:pPr>
              <w:spacing w:before="93" w:beforeLines="30" w:after="93" w:afterLines="30" w:line="440" w:lineRule="exact"/>
              <w:rPr>
                <w:rFonts w:hint="eastAsia" w:ascii="宋体" w:hAnsi="宋体"/>
                <w:bCs/>
                <w:szCs w:val="21"/>
              </w:rPr>
            </w:pPr>
            <w:r>
              <w:rPr>
                <w:rFonts w:hint="eastAsia" w:ascii="宋体" w:hAnsi="宋体"/>
                <w:bCs/>
                <w:szCs w:val="21"/>
              </w:rPr>
              <w:t>注册建造师、注册消防工程师、注册造价师、注册结构工程师、注册土木工程师、注册监理工程师、注册设备监理师、注册城乡规划师、注册安全工程师、注册咨询工程师、环境影响评价工程师、注册投资建设项目管理师…</w:t>
            </w:r>
          </w:p>
        </w:tc>
      </w:tr>
      <w:tr w14:paraId="0036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noWrap w:val="0"/>
            <w:vAlign w:val="center"/>
          </w:tcPr>
          <w:p w14:paraId="5C49278C">
            <w:pPr>
              <w:spacing w:before="93" w:beforeLines="30" w:after="93" w:afterLines="30" w:line="400" w:lineRule="exact"/>
              <w:jc w:val="center"/>
              <w:rPr>
                <w:rFonts w:hint="eastAsia" w:ascii="宋体" w:hAnsi="宋体"/>
                <w:sz w:val="24"/>
              </w:rPr>
            </w:pPr>
            <w:r>
              <w:rPr>
                <w:rFonts w:hint="eastAsia" w:ascii="宋体" w:hAnsi="宋体"/>
                <w:b/>
                <w:sz w:val="24"/>
              </w:rPr>
              <w:t>司法</w:t>
            </w:r>
          </w:p>
        </w:tc>
        <w:tc>
          <w:tcPr>
            <w:tcW w:w="7108" w:type="dxa"/>
            <w:noWrap w:val="0"/>
            <w:vAlign w:val="center"/>
          </w:tcPr>
          <w:p w14:paraId="3ECAF8B1">
            <w:pPr>
              <w:spacing w:before="93" w:beforeLines="30" w:after="93" w:afterLines="30" w:line="440" w:lineRule="exact"/>
              <w:rPr>
                <w:rFonts w:ascii="宋体" w:hAnsi="宋体" w:cs="宋体"/>
                <w:szCs w:val="21"/>
              </w:rPr>
            </w:pPr>
            <w:r>
              <w:rPr>
                <w:rFonts w:hint="eastAsia" w:ascii="宋体" w:hAnsi="宋体"/>
                <w:bCs/>
                <w:szCs w:val="21"/>
              </w:rPr>
              <w:t>法律职业资格、企业法律顾问、法律硕士（法学）、法律硕士（非法学）…</w:t>
            </w:r>
          </w:p>
        </w:tc>
      </w:tr>
      <w:tr w14:paraId="087B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noWrap w:val="0"/>
            <w:vAlign w:val="center"/>
          </w:tcPr>
          <w:p w14:paraId="3FC53FB5">
            <w:pPr>
              <w:spacing w:before="93" w:beforeLines="30" w:after="93" w:afterLines="30" w:line="400" w:lineRule="exact"/>
              <w:jc w:val="center"/>
              <w:rPr>
                <w:rFonts w:hint="eastAsia" w:ascii="宋体" w:hAnsi="宋体"/>
                <w:sz w:val="24"/>
              </w:rPr>
            </w:pPr>
            <w:r>
              <w:rPr>
                <w:rFonts w:hint="eastAsia" w:ascii="宋体" w:hAnsi="宋体"/>
                <w:b/>
                <w:sz w:val="24"/>
              </w:rPr>
              <w:t>医学</w:t>
            </w:r>
          </w:p>
        </w:tc>
        <w:tc>
          <w:tcPr>
            <w:tcW w:w="7108" w:type="dxa"/>
            <w:noWrap w:val="0"/>
            <w:vAlign w:val="center"/>
          </w:tcPr>
          <w:p w14:paraId="04136BF1">
            <w:pPr>
              <w:spacing w:before="93" w:beforeLines="30" w:after="93" w:afterLines="30" w:line="440" w:lineRule="exact"/>
              <w:rPr>
                <w:rFonts w:ascii="宋体" w:hAnsi="宋体"/>
                <w:bCs/>
                <w:szCs w:val="21"/>
              </w:rPr>
            </w:pPr>
            <w:r>
              <w:rPr>
                <w:rFonts w:hint="eastAsia" w:ascii="宋体" w:hAnsi="宋体"/>
                <w:bCs/>
                <w:szCs w:val="21"/>
              </w:rPr>
              <w:t>执业（助理）医师（临床/口腔/公卫/中医/中西医）、执业护士、执业药师、执业兽医、</w:t>
            </w:r>
            <w:r>
              <w:rPr>
                <w:rFonts w:hint="eastAsia" w:ascii="宋体" w:hAnsi="宋体"/>
              </w:rPr>
              <w:t>卫生专业技术资格（初级/中级/高级）、医用设备资格</w:t>
            </w:r>
            <w:r>
              <w:rPr>
                <w:rFonts w:hint="eastAsia" w:ascii="宋体" w:hAnsi="宋体"/>
                <w:bCs/>
                <w:szCs w:val="21"/>
              </w:rPr>
              <w:t>…</w:t>
            </w:r>
          </w:p>
        </w:tc>
      </w:tr>
      <w:tr w14:paraId="30C2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noWrap w:val="0"/>
            <w:vAlign w:val="center"/>
          </w:tcPr>
          <w:p w14:paraId="634F0A3D">
            <w:pPr>
              <w:spacing w:before="93" w:beforeLines="30" w:after="93" w:afterLines="30" w:line="400" w:lineRule="exact"/>
              <w:jc w:val="center"/>
              <w:rPr>
                <w:rFonts w:hint="eastAsia" w:ascii="宋体" w:hAnsi="宋体"/>
                <w:sz w:val="24"/>
              </w:rPr>
            </w:pPr>
            <w:r>
              <w:rPr>
                <w:rFonts w:hint="eastAsia" w:ascii="宋体" w:hAnsi="宋体"/>
                <w:b/>
                <w:sz w:val="24"/>
              </w:rPr>
              <w:t>专升本</w:t>
            </w:r>
          </w:p>
        </w:tc>
        <w:tc>
          <w:tcPr>
            <w:tcW w:w="7108" w:type="dxa"/>
            <w:noWrap w:val="0"/>
            <w:vAlign w:val="center"/>
          </w:tcPr>
          <w:p w14:paraId="33F2F9CA">
            <w:pPr>
              <w:spacing w:before="93" w:beforeLines="30" w:after="93" w:afterLines="30" w:line="440" w:lineRule="exact"/>
              <w:rPr>
                <w:rFonts w:ascii="宋体" w:hAnsi="宋体"/>
                <w:bCs/>
                <w:szCs w:val="21"/>
              </w:rPr>
            </w:pPr>
            <w:r>
              <w:rPr>
                <w:rFonts w:hint="eastAsia" w:ascii="宋体" w:hAnsi="宋体"/>
                <w:bCs/>
                <w:szCs w:val="21"/>
              </w:rPr>
              <w:t>成考专升本、普高专升本…</w:t>
            </w:r>
          </w:p>
        </w:tc>
      </w:tr>
      <w:tr w14:paraId="3109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noWrap w:val="0"/>
            <w:vAlign w:val="center"/>
          </w:tcPr>
          <w:p w14:paraId="4AB12617">
            <w:pPr>
              <w:spacing w:before="93" w:beforeLines="30" w:after="93" w:afterLines="30" w:line="400" w:lineRule="exact"/>
              <w:jc w:val="center"/>
              <w:rPr>
                <w:rFonts w:hint="eastAsia" w:ascii="宋体" w:hAnsi="宋体"/>
                <w:sz w:val="24"/>
              </w:rPr>
            </w:pPr>
            <w:r>
              <w:rPr>
                <w:rFonts w:hint="eastAsia" w:ascii="宋体" w:hAnsi="宋体"/>
                <w:b/>
                <w:sz w:val="24"/>
              </w:rPr>
              <w:t>自考</w:t>
            </w:r>
          </w:p>
        </w:tc>
        <w:tc>
          <w:tcPr>
            <w:tcW w:w="7108" w:type="dxa"/>
            <w:noWrap w:val="0"/>
            <w:vAlign w:val="center"/>
          </w:tcPr>
          <w:p w14:paraId="6934367D">
            <w:pPr>
              <w:spacing w:before="93" w:beforeLines="30" w:after="93" w:afterLines="30" w:line="440" w:lineRule="exact"/>
              <w:rPr>
                <w:rFonts w:hint="eastAsia" w:ascii="宋体" w:hAnsi="宋体"/>
                <w:bCs/>
                <w:szCs w:val="21"/>
              </w:rPr>
            </w:pPr>
            <w:r>
              <w:rPr>
                <w:rFonts w:hint="eastAsia" w:ascii="宋体" w:hAnsi="宋体"/>
                <w:szCs w:val="21"/>
              </w:rPr>
              <w:t>公共课、经管类、法学类、文史类、理工类、医学类、教育类…</w:t>
            </w:r>
          </w:p>
        </w:tc>
      </w:tr>
      <w:tr w14:paraId="3325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noWrap w:val="0"/>
            <w:vAlign w:val="center"/>
          </w:tcPr>
          <w:p w14:paraId="0A6D1759">
            <w:pPr>
              <w:spacing w:before="93" w:beforeLines="30" w:after="93" w:afterLines="30" w:line="400" w:lineRule="exact"/>
              <w:jc w:val="center"/>
              <w:rPr>
                <w:rFonts w:hint="eastAsia" w:ascii="宋体" w:hAnsi="宋体"/>
                <w:sz w:val="24"/>
              </w:rPr>
            </w:pPr>
            <w:r>
              <w:rPr>
                <w:rFonts w:hint="eastAsia" w:ascii="宋体" w:hAnsi="宋体"/>
                <w:b/>
                <w:sz w:val="24"/>
              </w:rPr>
              <w:t>实用职业技能</w:t>
            </w:r>
          </w:p>
        </w:tc>
        <w:tc>
          <w:tcPr>
            <w:tcW w:w="7108" w:type="dxa"/>
            <w:noWrap w:val="0"/>
            <w:vAlign w:val="center"/>
          </w:tcPr>
          <w:p w14:paraId="7C0D2281">
            <w:pPr>
              <w:spacing w:before="93" w:beforeLines="30" w:after="93" w:afterLines="30" w:line="440" w:lineRule="exact"/>
              <w:rPr>
                <w:rFonts w:hint="eastAsia" w:ascii="宋体" w:hAnsi="宋体"/>
                <w:bCs/>
                <w:szCs w:val="21"/>
              </w:rPr>
            </w:pPr>
            <w:r>
              <w:rPr>
                <w:rFonts w:hint="eastAsia" w:ascii="宋体" w:hAnsi="宋体"/>
                <w:bCs/>
                <w:szCs w:val="21"/>
              </w:rPr>
              <w:t>农林牧渔大类、土建大类、水利大类、制造大类、电子信息大类、财经大类、旅游大类、公共事业大类、艺术设计传媒大类、文化教育大类…</w:t>
            </w:r>
          </w:p>
        </w:tc>
      </w:tr>
    </w:tbl>
    <w:p w14:paraId="39637448">
      <w:pPr>
        <w:spacing w:line="400" w:lineRule="exact"/>
        <w:rPr>
          <w:rFonts w:hint="eastAsia" w:ascii="宋体" w:hAnsi="宋体"/>
          <w:b/>
          <w:szCs w:val="21"/>
        </w:rPr>
      </w:pPr>
    </w:p>
    <w:p w14:paraId="5C444F1E">
      <w:pPr>
        <w:keepNext w:val="0"/>
        <w:keepLines w:val="0"/>
        <w:pageBreakBefore w:val="0"/>
        <w:widowControl w:val="0"/>
        <w:kinsoku/>
        <w:wordWrap/>
        <w:overflowPunct/>
        <w:topLinePunct w:val="0"/>
        <w:autoSpaceDE/>
        <w:autoSpaceDN/>
        <w:bidi w:val="0"/>
        <w:spacing w:before="157" w:beforeLines="50" w:after="157" w:afterLines="5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二、中科UMajor大学专业课学习资源数据库简介</w:t>
      </w:r>
    </w:p>
    <w:p w14:paraId="51135AB1">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“中科UMajor大学专业课学习资源数据库”(简称UMajor数据库)是国内第一款专业性的、已形成完备学科体系的、以高等教育阶段各学科门类的专业课程教学资源为收录对象的大型学科知识数据库。</w:t>
      </w:r>
    </w:p>
    <w:p w14:paraId="2F590AB4">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在资源方面，UMajor数据库是一个收录了海量专业课教学资源的知识仓库。UMajor数据库并不是单纯的试题库，而是完全按照教育部最新版专业目录来设置学科体系、以专业课程教学资料为收录对象，现已收录理学、工学、经济学、管理学、法学、文学等十二大学科门类专业课程的知识脉络剖析、重点难点归纳、知识扩展学习资料、知识点同步练习试卷、精品视频课程等教学资源，并遵循学科专业发展规律和高校人才培养规律而持续开发优质数字教学资源。</w:t>
      </w:r>
    </w:p>
    <w:p w14:paraId="7E49BF51">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sz w:val="24"/>
        </w:rPr>
      </w:pPr>
      <w:r>
        <w:rPr>
          <w:rFonts w:hint="eastAsia" w:ascii="宋体" w:hAnsi="宋体"/>
          <w:sz w:val="24"/>
        </w:rPr>
        <w:t xml:space="preserve"> 在学习功能方面，UMajor数据库也是一个功能完备的大学生在线学习平台。UMajor数据库通过构建</w:t>
      </w:r>
      <w:r>
        <w:rPr>
          <w:rFonts w:ascii="宋体" w:hAnsi="宋体"/>
          <w:sz w:val="24"/>
        </w:rPr>
        <w:t>数字技术与</w:t>
      </w:r>
      <w:r>
        <w:rPr>
          <w:rFonts w:hint="eastAsia" w:ascii="宋体" w:hAnsi="宋体"/>
          <w:sz w:val="24"/>
        </w:rPr>
        <w:t>在线教育</w:t>
      </w:r>
      <w:r>
        <w:rPr>
          <w:rFonts w:ascii="宋体" w:hAnsi="宋体"/>
          <w:sz w:val="24"/>
        </w:rPr>
        <w:t>深度交融、耦合驱动的创新发展模式，</w:t>
      </w:r>
      <w:r>
        <w:rPr>
          <w:rFonts w:hint="eastAsia" w:ascii="宋体" w:hAnsi="宋体"/>
          <w:sz w:val="24"/>
        </w:rPr>
        <w:t>在全面且权威的视频课程及试卷等学习资源的基础之上，提供了全面实用的在线学习工具，</w:t>
      </w:r>
      <w:r>
        <w:rPr>
          <w:rFonts w:ascii="宋体" w:hAnsi="宋体"/>
          <w:sz w:val="24"/>
        </w:rPr>
        <w:t>搭建</w:t>
      </w:r>
      <w:r>
        <w:rPr>
          <w:rFonts w:hint="eastAsia" w:ascii="宋体" w:hAnsi="宋体"/>
          <w:sz w:val="24"/>
        </w:rPr>
        <w:t>出</w:t>
      </w:r>
      <w:r>
        <w:rPr>
          <w:rFonts w:ascii="宋体" w:hAnsi="宋体"/>
          <w:sz w:val="24"/>
        </w:rPr>
        <w:t>“人人皆学、处处能学、时时可学”的学习场景</w:t>
      </w:r>
      <w:r>
        <w:rPr>
          <w:rFonts w:hint="eastAsia" w:ascii="宋体" w:hAnsi="宋体"/>
          <w:sz w:val="24"/>
        </w:rPr>
        <w:t>，以供学生开展个性化学习、自主性预习、巩固性复习，从而帮助学生提高专业课学习效率、夯实知识基础、提高学习成绩。</w:t>
      </w:r>
    </w:p>
    <w:p w14:paraId="198954F4">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sz w:val="24"/>
        </w:rPr>
      </w:pPr>
      <w:r>
        <w:rPr>
          <w:rFonts w:hint="eastAsia" w:ascii="宋体" w:hAnsi="宋体"/>
          <w:sz w:val="24"/>
        </w:rPr>
        <w:t>在教辅功能方面，UMajor数据库将“教、学、练、考、评、研”完整闭环纳入系统，为教师提供了全面且灵活的教辅功能。教师可以查找试题编写试卷、查询与下载教学课件、自助发布在线课程与构建本校特色专业资源库、与学生互动教学等，进而方便快捷地构建出轻量化、个性化、专业化的在线教学系统，实现对在线教学、作业、学习进展监督、考试与教学反馈、教学研究的高效管理。</w:t>
      </w:r>
    </w:p>
    <w:p w14:paraId="0D1B58FC">
      <w:pPr>
        <w:pStyle w:val="14"/>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520" w:lineRule="exact"/>
        <w:ind w:firstLineChars="0"/>
        <w:textAlignment w:val="auto"/>
        <w:rPr>
          <w:rFonts w:hint="eastAsia" w:ascii="宋体" w:hAnsi="宋体" w:eastAsia="宋体" w:cs="宋体"/>
          <w:b/>
          <w:sz w:val="24"/>
          <w:szCs w:val="24"/>
        </w:rPr>
      </w:pPr>
      <w:r>
        <w:rPr>
          <w:rFonts w:hint="eastAsia" w:ascii="宋体" w:hAnsi="宋体" w:eastAsia="宋体" w:cs="宋体"/>
          <w:b/>
          <w:sz w:val="24"/>
          <w:szCs w:val="24"/>
        </w:rPr>
        <w:t>数据库主要功能</w:t>
      </w:r>
    </w:p>
    <w:p w14:paraId="5B7B71AD">
      <w:pPr>
        <w:keepNext w:val="0"/>
        <w:keepLines w:val="0"/>
        <w:pageBreakBefore w:val="0"/>
        <w:widowControl w:val="0"/>
        <w:numPr>
          <w:ilvl w:val="0"/>
          <w:numId w:val="3"/>
        </w:numPr>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课程学习</w:t>
      </w:r>
    </w:p>
    <w:p w14:paraId="1ECCF788">
      <w:pPr>
        <w:spacing w:before="156" w:beforeLines="50" w:after="156" w:afterLines="50" w:line="500" w:lineRule="exact"/>
        <w:ind w:firstLine="480" w:firstLineChars="200"/>
        <w:rPr>
          <w:rFonts w:hint="eastAsia" w:ascii="宋体" w:hAnsi="宋体"/>
          <w:sz w:val="24"/>
        </w:rPr>
      </w:pPr>
      <w:r>
        <w:rPr>
          <w:rFonts w:hint="eastAsia"/>
          <w:bCs/>
          <w:sz w:val="24"/>
        </w:rPr>
        <w:t>为用户提供</w:t>
      </w:r>
      <w:r>
        <w:rPr>
          <w:rFonts w:hint="eastAsia" w:ascii="宋体" w:hAnsi="宋体"/>
          <w:sz w:val="24"/>
        </w:rPr>
        <w:t>十二大学科门类</w:t>
      </w:r>
      <w:r>
        <w:rPr>
          <w:rFonts w:hint="eastAsia"/>
          <w:bCs/>
          <w:sz w:val="24"/>
        </w:rPr>
        <w:t>各门专业课的视频辅导课程，以及课程学习指导、知识脉络剖析、重点难点归纳、知识扩展学习资料等多媒体教学资源</w:t>
      </w:r>
      <w:r>
        <w:rPr>
          <w:rFonts w:hint="eastAsia" w:ascii="宋体" w:hAnsi="宋体"/>
          <w:sz w:val="24"/>
        </w:rPr>
        <w:t>，供学生在课堂之外进行自主性地课程预习、复习和延伸扩展学习。</w:t>
      </w:r>
    </w:p>
    <w:p w14:paraId="4EBCE739">
      <w:pPr>
        <w:spacing w:before="156" w:beforeLines="50" w:after="156" w:afterLines="50" w:line="500" w:lineRule="exact"/>
        <w:ind w:firstLine="480" w:firstLineChars="200"/>
        <w:rPr>
          <w:rFonts w:hint="eastAsia" w:ascii="宋体" w:hAnsi="宋体" w:eastAsia="宋体" w:cs="宋体"/>
          <w:sz w:val="24"/>
          <w:szCs w:val="24"/>
        </w:rPr>
      </w:pPr>
      <w:r>
        <w:rPr>
          <w:rFonts w:hint="eastAsia" w:ascii="宋体" w:hAnsi="宋体"/>
          <w:bCs/>
          <w:sz w:val="24"/>
        </w:rPr>
        <w:t>UMajor</w:t>
      </w:r>
      <w:r>
        <w:rPr>
          <w:rFonts w:hint="eastAsia"/>
          <w:bCs/>
          <w:sz w:val="24"/>
        </w:rPr>
        <w:t>数据库通过“知识元链接”来引导和鼓励学生的“双向学习”模式，即学生观看视频课程后可以立即答题自测以检验学习成效；答题自测时遇到不懂的题则可以立即观看相关知识点的视频课程，从而加强学生对专业课知识点的理解与掌握程度，帮助学生在学与练的过程中提高学习效率和成绩。</w:t>
      </w:r>
    </w:p>
    <w:p w14:paraId="3745B3D1">
      <w:pPr>
        <w:keepNext w:val="0"/>
        <w:keepLines w:val="0"/>
        <w:pageBreakBefore w:val="0"/>
        <w:widowControl w:val="0"/>
        <w:numPr>
          <w:ilvl w:val="0"/>
          <w:numId w:val="3"/>
        </w:numPr>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错题记录与错题组卷</w:t>
      </w:r>
    </w:p>
    <w:p w14:paraId="0C9E3694">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错题记录”是UMajor数据库的一项非常实用的、独有的学习功能。学生在答卷练习的过程中，凡是答错的试题（指单个“试题”，并非整套“试卷”）都将被自动保存到“错题记录”中，便于学生随时进行分析总结和强化记忆。“错题记录”在极大程度上便于学生找出自己学习中的薄弱环节，使学习重点更加突出、学习更加有针对性，进而巩固知识基础。</w:t>
      </w:r>
    </w:p>
    <w:p w14:paraId="6D938DD4">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2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错题组卷”是“错题记录”功能的扩展和延伸。通过“错题组卷”功能，学生可以抽选某一科目下的任意题型、任意数量的“错题”，将其重新组成一套试卷供自己再次练习。因为该试卷内的试题均为自己以往做错的试题，因此对于检验学生对知识点的掌握程度、验证学习效果将会有极大的帮助</w:t>
      </w:r>
      <w:r>
        <w:rPr>
          <w:rFonts w:hint="eastAsia" w:ascii="宋体" w:hAnsi="宋体" w:eastAsia="宋体" w:cs="宋体"/>
          <w:sz w:val="24"/>
          <w:szCs w:val="24"/>
          <w:lang w:eastAsia="zh-CN"/>
        </w:rPr>
        <w:t>。</w:t>
      </w:r>
    </w:p>
    <w:p w14:paraId="512BA887">
      <w:pPr>
        <w:keepNext w:val="0"/>
        <w:keepLines w:val="0"/>
        <w:pageBreakBefore w:val="0"/>
        <w:widowControl w:val="0"/>
        <w:numPr>
          <w:ilvl w:val="0"/>
          <w:numId w:val="3"/>
        </w:numPr>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试卷中心</w:t>
      </w:r>
    </w:p>
    <w:p w14:paraId="63BE3C89">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bCs/>
          <w:sz w:val="24"/>
        </w:rPr>
        <w:t xml:space="preserve"> 收录各门专业课程的章节同步练习试卷、综合练习试卷以及历年考研真题试卷，且每套试卷均配有标准答案和知识点解析。“试卷中心”可以有效帮助学生通过答卷练习的方式来检验自己对知识点的理解程度、对知识运用能力的掌握程度，进而检测学习成效、巩固学习进展、夯实学习基础。</w:t>
      </w:r>
    </w:p>
    <w:p w14:paraId="37CED7E4">
      <w:pPr>
        <w:keepNext w:val="0"/>
        <w:keepLines w:val="0"/>
        <w:pageBreakBefore w:val="0"/>
        <w:widowControl w:val="0"/>
        <w:numPr>
          <w:ilvl w:val="0"/>
          <w:numId w:val="3"/>
        </w:numPr>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学习进展</w:t>
      </w:r>
    </w:p>
    <w:p w14:paraId="6D2916D6">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cs="宋体" w:eastAsiaTheme="minorEastAsia"/>
          <w:sz w:val="24"/>
          <w:szCs w:val="24"/>
          <w:lang w:eastAsia="zh-CN"/>
        </w:rPr>
      </w:pPr>
      <w:r>
        <w:rPr>
          <w:rFonts w:hint="eastAsia" w:ascii="宋体" w:hAnsi="宋体"/>
          <w:sz w:val="24"/>
        </w:rPr>
        <w:t>“学习进展”包括课程学习进展统计、学习时间分配统计、答题自测成绩曲线、视频课程学习记录、答卷自测记录、学习进展总体分析等子功能。通过统计分析用户的学习行为、学习进展、时间分配、成绩曲线等数据，</w:t>
      </w:r>
      <w:r>
        <w:rPr>
          <w:rFonts w:hint="eastAsia" w:ascii="宋体" w:hAnsi="宋体"/>
          <w:bCs/>
          <w:sz w:val="24"/>
        </w:rPr>
        <w:t>UMajor</w:t>
      </w:r>
      <w:r>
        <w:rPr>
          <w:rFonts w:hint="eastAsia"/>
          <w:bCs/>
          <w:sz w:val="24"/>
        </w:rPr>
        <w:t>数据库</w:t>
      </w:r>
      <w:r>
        <w:rPr>
          <w:rFonts w:hint="eastAsia" w:ascii="宋体" w:hAnsi="宋体"/>
          <w:sz w:val="24"/>
        </w:rPr>
        <w:t>为处于不同学习阶段的学生进行智能化推荐视频课程、习题以及相关知识点；同时通过对学生学习模式的分析与直观展示，帮助学生查缺补漏、量化了解自身学习进展，并最终掌握系统化的专业课知识体系</w:t>
      </w:r>
      <w:r>
        <w:rPr>
          <w:rFonts w:hint="eastAsia" w:ascii="宋体" w:hAnsi="宋体"/>
          <w:sz w:val="24"/>
          <w:lang w:eastAsia="zh-CN"/>
        </w:rPr>
        <w:t>。</w:t>
      </w:r>
    </w:p>
    <w:p w14:paraId="1620F97B">
      <w:pPr>
        <w:keepNext w:val="0"/>
        <w:keepLines w:val="0"/>
        <w:pageBreakBefore w:val="0"/>
        <w:widowControl w:val="0"/>
        <w:numPr>
          <w:ilvl w:val="0"/>
          <w:numId w:val="3"/>
        </w:numPr>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检索系统</w:t>
      </w:r>
    </w:p>
    <w:p w14:paraId="46F3C0DA">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sz w:val="24"/>
        </w:rPr>
      </w:pPr>
      <w:r>
        <w:rPr>
          <w:rFonts w:hint="eastAsia" w:ascii="宋体" w:hAnsi="宋体"/>
          <w:sz w:val="24"/>
        </w:rPr>
        <w:t>检索功能是数据库的必备功能。检索功能是否完备，将会直接影响用户对数据库的使用效率。因此，</w:t>
      </w:r>
      <w:r>
        <w:rPr>
          <w:rFonts w:hint="eastAsia" w:ascii="宋体" w:hAnsi="宋体"/>
          <w:bCs/>
          <w:sz w:val="24"/>
        </w:rPr>
        <w:t>UMajor</w:t>
      </w:r>
      <w:r>
        <w:rPr>
          <w:rFonts w:hint="eastAsia"/>
          <w:bCs/>
          <w:sz w:val="24"/>
        </w:rPr>
        <w:t>数据库</w:t>
      </w:r>
      <w:r>
        <w:rPr>
          <w:rFonts w:hint="eastAsia" w:ascii="宋体" w:hAnsi="宋体"/>
          <w:sz w:val="24"/>
        </w:rPr>
        <w:t>为用户提供了全面且细致的检索工具，包括快速检索、标准检索、高级检索、学科导航检索共四种检索工具，并提供了学科门类、资源类型、发布时间、课程名称、课程类型、章节名称、主讲教师等十余项检索字段，从而有效提高查全率和查准率。</w:t>
      </w:r>
    </w:p>
    <w:p w14:paraId="257F51A9">
      <w:pPr>
        <w:keepNext w:val="0"/>
        <w:keepLines w:val="0"/>
        <w:pageBreakBefore w:val="0"/>
        <w:widowControl w:val="0"/>
        <w:numPr>
          <w:ilvl w:val="0"/>
          <w:numId w:val="3"/>
        </w:numPr>
        <w:kinsoku/>
        <w:wordWrap/>
        <w:overflowPunct/>
        <w:topLinePunct w:val="0"/>
        <w:autoSpaceDE/>
        <w:autoSpaceDN/>
        <w:bidi w:val="0"/>
        <w:adjustRightInd w:val="0"/>
        <w:snapToGrid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移动应用</w:t>
      </w:r>
    </w:p>
    <w:p w14:paraId="21F4779F">
      <w:pPr>
        <w:spacing w:before="156" w:beforeLines="50" w:after="156" w:afterLines="50" w:line="500" w:lineRule="exact"/>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为便于不同专业、不同年级的用户在不同场景下随时随地使用，中科UMajor大学专业课学习资源数据库开创性地提供了“全模式全贯通”服务模式，同时为用户提供了电脑WEB端、微信端、手机WAP端、安卓APP端、苹果APP端等应用端。</w:t>
      </w:r>
    </w:p>
    <w:p w14:paraId="6927334F">
      <w:pPr>
        <w:spacing w:before="156" w:beforeLines="50" w:after="156" w:afterLines="50" w:line="500" w:lineRule="exact"/>
        <w:ind w:firstLine="480" w:firstLineChars="200"/>
        <w:rPr>
          <w:rFonts w:hint="eastAsia" w:ascii="宋体" w:hAnsi="宋体"/>
          <w:sz w:val="24"/>
        </w:rPr>
      </w:pPr>
      <w:r>
        <w:rPr>
          <w:rFonts w:hint="eastAsia" w:ascii="宋体" w:hAnsi="宋体"/>
          <w:sz w:val="24"/>
        </w:rPr>
        <w:t>各应用端的数据互联互通，用户仅需注册一个账户，即可畅游UMajor数据库的全部应用端，实现在手机、平板、电脑应用场景下的无缝切换；并且用户的学习记录与个性化学习资源自动关联更新，真正实现随时随地想学即学。</w:t>
      </w:r>
    </w:p>
    <w:p w14:paraId="4B16019F">
      <w:pPr>
        <w:pStyle w:val="14"/>
        <w:numPr>
          <w:ilvl w:val="0"/>
          <w:numId w:val="0"/>
        </w:numPr>
        <w:adjustRightInd w:val="0"/>
        <w:snapToGrid w:val="0"/>
        <w:spacing w:line="360" w:lineRule="exact"/>
        <w:rPr>
          <w:rFonts w:hint="eastAsia" w:asciiTheme="minorEastAsia" w:hAnsiTheme="minorEastAsia"/>
          <w:szCs w:val="21"/>
        </w:rPr>
      </w:pPr>
    </w:p>
    <w:p w14:paraId="4C5E5133">
      <w:pPr>
        <w:pStyle w:val="14"/>
        <w:numPr>
          <w:ilvl w:val="0"/>
          <w:numId w:val="2"/>
        </w:numPr>
        <w:adjustRightInd w:val="0"/>
        <w:snapToGrid w:val="0"/>
        <w:spacing w:line="360" w:lineRule="exact"/>
        <w:ind w:firstLineChars="0"/>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《中科UMajor大学专业课学习数据库》知识体系</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6849"/>
      </w:tblGrid>
      <w:tr w14:paraId="50FF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shd w:val="clear" w:color="auto" w:fill="CCECFF"/>
            <w:noWrap w:val="0"/>
            <w:vAlign w:val="center"/>
          </w:tcPr>
          <w:p w14:paraId="1B9A2B2D">
            <w:pPr>
              <w:spacing w:before="93" w:beforeLines="30" w:after="93" w:afterLines="30" w:line="400" w:lineRule="exact"/>
              <w:jc w:val="center"/>
              <w:rPr>
                <w:rFonts w:hint="eastAsia" w:ascii="宋体" w:hAnsi="宋体"/>
                <w:b/>
                <w:szCs w:val="21"/>
              </w:rPr>
            </w:pPr>
            <w:r>
              <w:rPr>
                <w:rFonts w:hint="eastAsia" w:ascii="宋体" w:hAnsi="宋体"/>
                <w:b/>
                <w:szCs w:val="21"/>
              </w:rPr>
              <w:t>专辑/学科门类</w:t>
            </w:r>
          </w:p>
        </w:tc>
        <w:tc>
          <w:tcPr>
            <w:tcW w:w="7108" w:type="dxa"/>
            <w:shd w:val="clear" w:color="auto" w:fill="CCECFF"/>
            <w:noWrap w:val="0"/>
            <w:vAlign w:val="center"/>
          </w:tcPr>
          <w:p w14:paraId="2EEEFA5B">
            <w:pPr>
              <w:spacing w:before="156" w:beforeLines="50" w:after="156" w:afterLines="50" w:line="520" w:lineRule="exact"/>
              <w:jc w:val="center"/>
              <w:rPr>
                <w:rFonts w:hint="eastAsia" w:ascii="宋体" w:hAnsi="宋体"/>
                <w:b/>
                <w:sz w:val="24"/>
              </w:rPr>
            </w:pPr>
            <w:r>
              <w:rPr>
                <w:rFonts w:hint="eastAsia" w:ascii="宋体" w:hAnsi="宋体"/>
                <w:b/>
                <w:sz w:val="24"/>
              </w:rPr>
              <w:t>重点收录课程</w:t>
            </w:r>
          </w:p>
        </w:tc>
      </w:tr>
      <w:tr w14:paraId="2EA8B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noWrap w:val="0"/>
            <w:vAlign w:val="center"/>
          </w:tcPr>
          <w:p w14:paraId="3F7A9D9D">
            <w:pPr>
              <w:spacing w:before="93" w:beforeLines="30" w:after="93" w:afterLines="30" w:line="400" w:lineRule="exact"/>
              <w:jc w:val="center"/>
              <w:rPr>
                <w:rFonts w:hint="eastAsia" w:ascii="宋体" w:hAnsi="宋体"/>
                <w:sz w:val="24"/>
              </w:rPr>
            </w:pPr>
            <w:r>
              <w:rPr>
                <w:rFonts w:hint="eastAsia" w:ascii="宋体" w:hAnsi="宋体"/>
                <w:b/>
                <w:sz w:val="24"/>
              </w:rPr>
              <w:t>哲学</w:t>
            </w:r>
          </w:p>
        </w:tc>
        <w:tc>
          <w:tcPr>
            <w:tcW w:w="7108" w:type="dxa"/>
            <w:noWrap w:val="0"/>
            <w:vAlign w:val="top"/>
          </w:tcPr>
          <w:p w14:paraId="75015915">
            <w:pPr>
              <w:spacing w:before="93" w:beforeLines="30" w:after="93" w:afterLines="30" w:line="440" w:lineRule="exact"/>
              <w:rPr>
                <w:rFonts w:hint="eastAsia" w:ascii="宋体" w:hAnsi="宋体" w:eastAsia="宋体" w:cs="宋体"/>
                <w:sz w:val="21"/>
                <w:szCs w:val="21"/>
              </w:rPr>
            </w:pPr>
            <w:r>
              <w:rPr>
                <w:rFonts w:hint="eastAsia" w:ascii="宋体" w:hAnsi="宋体" w:eastAsia="宋体" w:cs="宋体"/>
                <w:sz w:val="21"/>
                <w:szCs w:val="21"/>
              </w:rPr>
              <w:t>马克思主义哲学原理、毛泽东思想和中国特色社会主义理论体系概论、科学社会主义的理论与实践、思想道德修养与法律基础、政治学概论、逻辑学、哲学原理、西方哲学史、中国哲学史……</w:t>
            </w:r>
          </w:p>
        </w:tc>
      </w:tr>
      <w:tr w14:paraId="0174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noWrap w:val="0"/>
            <w:vAlign w:val="center"/>
          </w:tcPr>
          <w:p w14:paraId="226799B6">
            <w:pPr>
              <w:spacing w:before="93" w:beforeLines="30" w:after="93" w:afterLines="30" w:line="400" w:lineRule="exact"/>
              <w:jc w:val="center"/>
              <w:rPr>
                <w:rFonts w:hint="eastAsia" w:ascii="宋体" w:hAnsi="宋体"/>
                <w:sz w:val="24"/>
              </w:rPr>
            </w:pPr>
            <w:r>
              <w:rPr>
                <w:rFonts w:hint="eastAsia" w:ascii="宋体" w:hAnsi="宋体"/>
                <w:b/>
                <w:sz w:val="24"/>
              </w:rPr>
              <w:t>经济学</w:t>
            </w:r>
          </w:p>
        </w:tc>
        <w:tc>
          <w:tcPr>
            <w:tcW w:w="7108" w:type="dxa"/>
            <w:noWrap w:val="0"/>
            <w:vAlign w:val="top"/>
          </w:tcPr>
          <w:p w14:paraId="352688AE">
            <w:pPr>
              <w:spacing w:before="93" w:beforeLines="30" w:after="93" w:afterLines="30" w:line="440" w:lineRule="exact"/>
              <w:rPr>
                <w:rFonts w:hint="eastAsia" w:ascii="宋体" w:hAnsi="宋体" w:eastAsia="宋体" w:cs="宋体"/>
                <w:sz w:val="21"/>
                <w:szCs w:val="21"/>
              </w:rPr>
            </w:pPr>
            <w:r>
              <w:rPr>
                <w:rFonts w:hint="eastAsia" w:ascii="宋体" w:hAnsi="宋体" w:eastAsia="宋体" w:cs="宋体"/>
                <w:sz w:val="21"/>
                <w:szCs w:val="21"/>
              </w:rPr>
              <w:t>财政税收管理、财政学、产业经济学、工程经济学、公司理财、管理经济学、国际货运实务、国际结算、国际金融、国际金融与管理、国际经济学、国际贸易、国际商务、国家税收、国民经济核算分析、宏观经济学、货币金融学、货币银行学、计量经济学、教育经济学、金融统计分析、金融学、进出口贸易实务、经济学原理、商业银行学、世界经济概论、微观经济学、西方经济学简明教程、现代货币银行学、政治经济学、中央银行通论……</w:t>
            </w:r>
          </w:p>
        </w:tc>
      </w:tr>
      <w:tr w14:paraId="1C47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noWrap w:val="0"/>
            <w:vAlign w:val="center"/>
          </w:tcPr>
          <w:p w14:paraId="0FD740B1">
            <w:pPr>
              <w:spacing w:before="93" w:beforeLines="30" w:after="93" w:afterLines="30" w:line="400" w:lineRule="exact"/>
              <w:jc w:val="center"/>
              <w:rPr>
                <w:rFonts w:hint="eastAsia" w:ascii="宋体" w:hAnsi="宋体"/>
                <w:sz w:val="24"/>
              </w:rPr>
            </w:pPr>
            <w:r>
              <w:rPr>
                <w:rFonts w:hint="eastAsia" w:ascii="宋体" w:hAnsi="宋体"/>
                <w:b/>
                <w:sz w:val="24"/>
              </w:rPr>
              <w:t>法学</w:t>
            </w:r>
          </w:p>
        </w:tc>
        <w:tc>
          <w:tcPr>
            <w:tcW w:w="7108" w:type="dxa"/>
            <w:noWrap w:val="0"/>
            <w:vAlign w:val="top"/>
          </w:tcPr>
          <w:p w14:paraId="35E918D1">
            <w:pPr>
              <w:spacing w:before="93" w:beforeLines="30" w:after="93" w:afterLines="30" w:line="440" w:lineRule="exact"/>
              <w:rPr>
                <w:rFonts w:hint="eastAsia" w:ascii="宋体" w:hAnsi="宋体" w:eastAsia="宋体" w:cs="宋体"/>
                <w:sz w:val="21"/>
                <w:szCs w:val="21"/>
              </w:rPr>
            </w:pPr>
            <w:r>
              <w:rPr>
                <w:rFonts w:hint="eastAsia" w:ascii="宋体" w:hAnsi="宋体" w:eastAsia="宋体" w:cs="宋体"/>
                <w:sz w:val="21"/>
                <w:szCs w:val="21"/>
              </w:rPr>
              <w:t>法理学、法律逻辑学、公司法、公证与律师制度、国际法、国际经济法、国际私法、行政法与行政诉讼法、环境与资源保护法、婚姻家庭继承法、监察法、经济法、劳动与社会保障法、民事诉讼法、票据法、商法、税法、司法制度和法律职业道德、物权法、宪法、刑法、刑事诉讼法、证券法、知识产权法……</w:t>
            </w:r>
          </w:p>
        </w:tc>
      </w:tr>
      <w:tr w14:paraId="6F4C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noWrap w:val="0"/>
            <w:vAlign w:val="center"/>
          </w:tcPr>
          <w:p w14:paraId="63AE4C3F">
            <w:pPr>
              <w:spacing w:before="93" w:beforeLines="30" w:after="93" w:afterLines="30" w:line="400" w:lineRule="exact"/>
              <w:jc w:val="center"/>
              <w:rPr>
                <w:rFonts w:hint="eastAsia" w:ascii="宋体" w:hAnsi="宋体"/>
                <w:sz w:val="24"/>
              </w:rPr>
            </w:pPr>
            <w:r>
              <w:rPr>
                <w:rFonts w:hint="eastAsia" w:ascii="宋体" w:hAnsi="宋体"/>
                <w:b/>
                <w:sz w:val="24"/>
              </w:rPr>
              <w:t>教育学</w:t>
            </w:r>
          </w:p>
        </w:tc>
        <w:tc>
          <w:tcPr>
            <w:tcW w:w="7108" w:type="dxa"/>
            <w:noWrap w:val="0"/>
            <w:vAlign w:val="top"/>
          </w:tcPr>
          <w:p w14:paraId="7C18A292">
            <w:pPr>
              <w:spacing w:before="93" w:beforeLines="30" w:after="93" w:afterLines="30" w:line="440" w:lineRule="exact"/>
              <w:rPr>
                <w:rFonts w:hint="eastAsia" w:ascii="宋体" w:hAnsi="宋体" w:eastAsia="宋体" w:cs="宋体"/>
                <w:sz w:val="21"/>
                <w:szCs w:val="21"/>
              </w:rPr>
            </w:pPr>
            <w:r>
              <w:rPr>
                <w:rFonts w:hint="eastAsia" w:ascii="宋体" w:hAnsi="宋体" w:eastAsia="宋体" w:cs="宋体"/>
                <w:sz w:val="21"/>
                <w:szCs w:val="21"/>
              </w:rPr>
              <w:t>发展心理学、教育管理学、教育技术学、教育心理学、教育研究方法、课程与教学论、人格心理学、社会心理学、实验心理学、体育心理学、心理测量学、心理统计学、心理与教育测量、幼儿教育心理学、幼儿卫生保健、幼儿心理学、运动生物化学、中国近代教育史、中国现代教育史、咨询心理学……</w:t>
            </w:r>
          </w:p>
        </w:tc>
      </w:tr>
      <w:tr w14:paraId="07C3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noWrap w:val="0"/>
            <w:vAlign w:val="center"/>
          </w:tcPr>
          <w:p w14:paraId="24569B7E">
            <w:pPr>
              <w:spacing w:before="93" w:beforeLines="30" w:after="93" w:afterLines="30" w:line="400" w:lineRule="exact"/>
              <w:jc w:val="center"/>
              <w:rPr>
                <w:rFonts w:hint="eastAsia" w:ascii="宋体" w:hAnsi="宋体"/>
                <w:sz w:val="24"/>
              </w:rPr>
            </w:pPr>
            <w:r>
              <w:rPr>
                <w:rFonts w:hint="eastAsia" w:ascii="宋体" w:hAnsi="宋体"/>
                <w:b/>
                <w:sz w:val="24"/>
              </w:rPr>
              <w:t>文学</w:t>
            </w:r>
          </w:p>
        </w:tc>
        <w:tc>
          <w:tcPr>
            <w:tcW w:w="7108" w:type="dxa"/>
            <w:noWrap w:val="0"/>
            <w:vAlign w:val="top"/>
          </w:tcPr>
          <w:p w14:paraId="647D6EB3">
            <w:pPr>
              <w:spacing w:before="93" w:beforeLines="30" w:after="93" w:afterLines="30" w:line="440" w:lineRule="exact"/>
              <w:rPr>
                <w:rFonts w:hint="eastAsia" w:ascii="宋体" w:hAnsi="宋体" w:eastAsia="宋体" w:cs="宋体"/>
                <w:sz w:val="21"/>
                <w:szCs w:val="21"/>
              </w:rPr>
            </w:pPr>
            <w:r>
              <w:rPr>
                <w:rFonts w:hint="eastAsia" w:ascii="宋体" w:hAnsi="宋体" w:eastAsia="宋体" w:cs="宋体"/>
                <w:sz w:val="21"/>
                <w:szCs w:val="21"/>
              </w:rPr>
              <w:t>传播学、当代新闻采访、古代汉语、广播电视节目制作、宏观语言学、跨文化交际学概论、外国文化史、外国文学史、外国新闻传播史、网络与新媒体、文学理论、现代汉语、新闻编辑与评论、新闻采访与写作、新闻实务、新闻写作教程、新闻学、语言学……</w:t>
            </w:r>
          </w:p>
        </w:tc>
      </w:tr>
      <w:tr w14:paraId="5A14D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noWrap w:val="0"/>
            <w:vAlign w:val="center"/>
          </w:tcPr>
          <w:p w14:paraId="1BBD21F5">
            <w:pPr>
              <w:spacing w:before="93" w:beforeLines="30" w:after="93" w:afterLines="30" w:line="400" w:lineRule="exact"/>
              <w:jc w:val="center"/>
              <w:rPr>
                <w:rFonts w:hint="eastAsia" w:ascii="宋体" w:hAnsi="宋体"/>
                <w:sz w:val="24"/>
              </w:rPr>
            </w:pPr>
            <w:r>
              <w:rPr>
                <w:rFonts w:hint="eastAsia" w:ascii="宋体" w:hAnsi="宋体"/>
                <w:b/>
                <w:sz w:val="24"/>
              </w:rPr>
              <w:t>历史学</w:t>
            </w:r>
          </w:p>
        </w:tc>
        <w:tc>
          <w:tcPr>
            <w:tcW w:w="7108" w:type="dxa"/>
            <w:noWrap w:val="0"/>
            <w:vAlign w:val="top"/>
          </w:tcPr>
          <w:p w14:paraId="6C96CBF5">
            <w:pPr>
              <w:spacing w:before="93" w:beforeLines="30" w:after="93" w:afterLines="30" w:line="440" w:lineRule="exact"/>
              <w:rPr>
                <w:rFonts w:hint="eastAsia" w:ascii="宋体" w:hAnsi="宋体" w:eastAsia="宋体" w:cs="宋体"/>
                <w:sz w:val="21"/>
                <w:szCs w:val="21"/>
              </w:rPr>
            </w:pPr>
            <w:r>
              <w:rPr>
                <w:rFonts w:hint="eastAsia" w:ascii="宋体" w:hAnsi="宋体" w:eastAsia="宋体" w:cs="宋体"/>
                <w:sz w:val="21"/>
                <w:szCs w:val="21"/>
              </w:rPr>
              <w:t>世界古代中世纪史、世界近现代史、中国古代史、中国近现代史……</w:t>
            </w:r>
          </w:p>
        </w:tc>
      </w:tr>
      <w:tr w14:paraId="6598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noWrap w:val="0"/>
            <w:vAlign w:val="center"/>
          </w:tcPr>
          <w:p w14:paraId="59F3707B">
            <w:pPr>
              <w:spacing w:before="93" w:beforeLines="30" w:after="93" w:afterLines="30" w:line="400" w:lineRule="exact"/>
              <w:jc w:val="center"/>
              <w:rPr>
                <w:rFonts w:hint="eastAsia" w:ascii="宋体" w:hAnsi="宋体"/>
                <w:sz w:val="24"/>
              </w:rPr>
            </w:pPr>
            <w:r>
              <w:rPr>
                <w:rFonts w:hint="eastAsia" w:ascii="宋体" w:hAnsi="宋体"/>
                <w:b/>
                <w:sz w:val="24"/>
              </w:rPr>
              <w:t>理学</w:t>
            </w:r>
          </w:p>
        </w:tc>
        <w:tc>
          <w:tcPr>
            <w:tcW w:w="7108" w:type="dxa"/>
            <w:noWrap w:val="0"/>
            <w:vAlign w:val="top"/>
          </w:tcPr>
          <w:p w14:paraId="3AD68BF6">
            <w:pPr>
              <w:spacing w:before="93" w:beforeLines="30" w:after="93" w:afterLines="30" w:line="440" w:lineRule="exact"/>
              <w:rPr>
                <w:rFonts w:hint="eastAsia" w:ascii="宋体" w:hAnsi="宋体" w:eastAsia="宋体" w:cs="宋体"/>
                <w:sz w:val="21"/>
                <w:szCs w:val="21"/>
              </w:rPr>
            </w:pPr>
            <w:r>
              <w:rPr>
                <w:rFonts w:hint="eastAsia" w:ascii="宋体" w:hAnsi="宋体" w:eastAsia="宋体" w:cs="宋体"/>
                <w:sz w:val="21"/>
                <w:szCs w:val="21"/>
              </w:rPr>
              <w:t>半导体物理学、常微分方程、电磁场理论、泛函数分析、分离工程、分析化学、分子生物学、复变函数论、概率论与数理统计、概率统计与数学模型、高等代数、高等几何、高分子化学、高分子物理、高原反应工程、工程光学、工程化学、工程数学基础、光学、化工原理、环境分析化学、环境工程微生物学、机器人系统设计与应用、激光原理、解析几何、矩阵理论、空间解析几何、离散数学、理论力学、理论物理概论、偏微分方程、气体动力学、热力学与统计物理学、生物化学、生物统计学、数学分析、数学分析的方法、数学建模算法与应用、数值分析、水分析化学、算法设计与分析、随机过程及应用、统计学、微分几何、微积分、无机化学、无机化学与化学分析、物理化学、物流数学、细胞生物学、线性代数、遗传学、有机化学、原子物理学……</w:t>
            </w:r>
          </w:p>
        </w:tc>
      </w:tr>
      <w:tr w14:paraId="01A7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noWrap w:val="0"/>
            <w:vAlign w:val="center"/>
          </w:tcPr>
          <w:p w14:paraId="1D879DC5">
            <w:pPr>
              <w:spacing w:before="93" w:beforeLines="30" w:after="93" w:afterLines="30" w:line="400" w:lineRule="exact"/>
              <w:jc w:val="center"/>
              <w:rPr>
                <w:rFonts w:hint="eastAsia" w:ascii="宋体" w:hAnsi="宋体"/>
                <w:sz w:val="24"/>
              </w:rPr>
            </w:pPr>
            <w:r>
              <w:rPr>
                <w:rFonts w:hint="eastAsia" w:ascii="宋体" w:hAnsi="宋体"/>
                <w:b/>
                <w:sz w:val="24"/>
              </w:rPr>
              <w:t>工学</w:t>
            </w:r>
          </w:p>
        </w:tc>
        <w:tc>
          <w:tcPr>
            <w:tcW w:w="7108" w:type="dxa"/>
            <w:noWrap w:val="0"/>
            <w:vAlign w:val="top"/>
          </w:tcPr>
          <w:p w14:paraId="566AC52E">
            <w:pPr>
              <w:spacing w:before="93" w:beforeLines="30" w:after="93" w:afterLines="30" w:line="440" w:lineRule="exact"/>
              <w:rPr>
                <w:rFonts w:hint="eastAsia" w:ascii="宋体" w:hAnsi="宋体" w:eastAsia="宋体" w:cs="宋体"/>
                <w:sz w:val="21"/>
                <w:szCs w:val="21"/>
              </w:rPr>
            </w:pPr>
            <w:r>
              <w:rPr>
                <w:rFonts w:hint="eastAsia" w:ascii="宋体" w:hAnsi="宋体" w:eastAsia="宋体" w:cs="宋体"/>
                <w:sz w:val="21"/>
                <w:szCs w:val="21"/>
              </w:rPr>
              <w:t>AR应用教程、C语言程序设计、java教程、VB语言程序设计教程、Visual FoxPro数据库管理系统教程、VR开发实战、VR应用教程、材料科学基础、材料力学、测绘工程管理与法规、城乡规划原理、大气污染控制工程、电工学电工技术、电机与拖动基础、电力电子技术、电力工程、电力网继电保护原理、电力系统分析、电力系统基础、电力系统继电保护、电路分析、电路与模拟电子技术、电路与信号分析、电路原理、分离科学与技术、钢结构、高频电子线路、工程材料、工程测量、工程地质、工程流体力学、工程图学、工业分析技术、工业机器人操作与编程、工业机器人技术、工业机器人自控系统、化工仪表及自动化、环境工程原理、环境影响评价技术方法、汇编语言程序设计、混凝土结构设计、机电传动控制、机械工程材料、机械设计、机械原理、机械制图与CAD基础、计算机体系结构、计算机图形学、计算机网络、计算机组成原理、建筑工程施工管理、建筑结构设计、建筑设计业务管理、建筑施工、金属材料与热处理、模拟电子技术、汽车电工与电子基础、汽车机械基础、热工基础、人工智能、软件工程、食品工程原理、数据库系统原理、水工钢筋混凝土结构、土木工程材料、土木工程力学、物联网导论、消防安全管理、信号与系统、信息管理基础、信息论与编码、冶金原理、液压与气压传动、仪器分析、自动控制原理……</w:t>
            </w:r>
          </w:p>
        </w:tc>
      </w:tr>
      <w:tr w14:paraId="083F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noWrap w:val="0"/>
            <w:vAlign w:val="center"/>
          </w:tcPr>
          <w:p w14:paraId="222BC553">
            <w:pPr>
              <w:spacing w:before="93" w:beforeLines="30" w:after="93" w:afterLines="30" w:line="400" w:lineRule="exact"/>
              <w:jc w:val="center"/>
              <w:rPr>
                <w:rFonts w:hint="eastAsia" w:ascii="宋体" w:hAnsi="宋体"/>
                <w:sz w:val="24"/>
              </w:rPr>
            </w:pPr>
            <w:r>
              <w:rPr>
                <w:rFonts w:hint="eastAsia" w:ascii="宋体" w:hAnsi="宋体"/>
                <w:b/>
                <w:sz w:val="24"/>
              </w:rPr>
              <w:t>农学</w:t>
            </w:r>
          </w:p>
        </w:tc>
        <w:tc>
          <w:tcPr>
            <w:tcW w:w="7108" w:type="dxa"/>
            <w:noWrap w:val="0"/>
            <w:vAlign w:val="top"/>
          </w:tcPr>
          <w:p w14:paraId="7E00292A">
            <w:pPr>
              <w:spacing w:before="93" w:beforeLines="30" w:after="93" w:afterLines="30" w:line="440" w:lineRule="exact"/>
              <w:rPr>
                <w:rFonts w:hint="eastAsia" w:ascii="宋体" w:hAnsi="宋体" w:eastAsia="宋体" w:cs="宋体"/>
                <w:sz w:val="21"/>
                <w:szCs w:val="21"/>
              </w:rPr>
            </w:pPr>
            <w:r>
              <w:rPr>
                <w:rFonts w:hint="eastAsia" w:ascii="宋体" w:hAnsi="宋体" w:eastAsia="宋体" w:cs="宋体"/>
                <w:sz w:val="21"/>
                <w:szCs w:val="21"/>
              </w:rPr>
              <w:t>动物生理学、动物生物化学、动物学、分析生物学、基础生态学、农科化学、普通生物学、微生物学、药用植物学、应用生态学、植物病理学、植物生理学、植物生物学、植物学……</w:t>
            </w:r>
          </w:p>
        </w:tc>
      </w:tr>
      <w:tr w14:paraId="37D2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noWrap w:val="0"/>
            <w:vAlign w:val="center"/>
          </w:tcPr>
          <w:p w14:paraId="53039265">
            <w:pPr>
              <w:spacing w:before="93" w:beforeLines="30" w:after="93" w:afterLines="30" w:line="400" w:lineRule="exact"/>
              <w:jc w:val="center"/>
              <w:rPr>
                <w:rFonts w:hint="eastAsia" w:ascii="宋体" w:hAnsi="宋体"/>
                <w:sz w:val="24"/>
              </w:rPr>
            </w:pPr>
            <w:r>
              <w:rPr>
                <w:rFonts w:hint="eastAsia" w:ascii="宋体" w:hAnsi="宋体"/>
                <w:b/>
                <w:sz w:val="24"/>
              </w:rPr>
              <w:t>医学</w:t>
            </w:r>
          </w:p>
        </w:tc>
        <w:tc>
          <w:tcPr>
            <w:tcW w:w="7108" w:type="dxa"/>
            <w:noWrap w:val="0"/>
            <w:vAlign w:val="top"/>
          </w:tcPr>
          <w:p w14:paraId="5B9B6281">
            <w:pPr>
              <w:spacing w:before="93" w:beforeLines="30" w:after="93" w:afterLines="30" w:line="440" w:lineRule="exact"/>
              <w:rPr>
                <w:rFonts w:hint="eastAsia" w:ascii="宋体" w:hAnsi="宋体" w:eastAsia="宋体" w:cs="宋体"/>
                <w:sz w:val="21"/>
                <w:szCs w:val="21"/>
              </w:rPr>
            </w:pPr>
            <w:r>
              <w:rPr>
                <w:rFonts w:hint="eastAsia" w:ascii="宋体" w:hAnsi="宋体" w:eastAsia="宋体" w:cs="宋体"/>
                <w:sz w:val="21"/>
                <w:szCs w:val="21"/>
              </w:rPr>
              <w:t>病理生理学、传统康复方法学、儿科学、方剂学、妇产科护理学、功能解剖学、护理学、环境卫生学、急危重症护理学、局部解剖学、口腔材料学、口腔护理学、临床康复工程学、临床微生物学检验、临床血液学与检验、流行病学、免疫学、内科护理学、人体解剖生理学、人体形态学、神经病学、危重病医学、循证医学、眼科学、药剂学、药理学、药物化学、医学免疫学、医学统计学、医学文献信息检索、医学影像学、中药学、中医内科学、中医诊断学……</w:t>
            </w:r>
          </w:p>
        </w:tc>
      </w:tr>
      <w:tr w14:paraId="12E5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noWrap w:val="0"/>
            <w:vAlign w:val="center"/>
          </w:tcPr>
          <w:p w14:paraId="0AC886AD">
            <w:pPr>
              <w:spacing w:before="93" w:beforeLines="30" w:after="93" w:afterLines="30" w:line="400" w:lineRule="exact"/>
              <w:jc w:val="center"/>
              <w:rPr>
                <w:rFonts w:hint="eastAsia" w:ascii="宋体" w:hAnsi="宋体"/>
                <w:sz w:val="24"/>
              </w:rPr>
            </w:pPr>
            <w:r>
              <w:rPr>
                <w:rFonts w:hint="eastAsia" w:ascii="宋体" w:hAnsi="宋体"/>
                <w:b/>
                <w:sz w:val="24"/>
              </w:rPr>
              <w:t>管理学</w:t>
            </w:r>
          </w:p>
        </w:tc>
        <w:tc>
          <w:tcPr>
            <w:tcW w:w="7108" w:type="dxa"/>
            <w:noWrap w:val="0"/>
            <w:vAlign w:val="top"/>
          </w:tcPr>
          <w:p w14:paraId="3AF97B67">
            <w:pPr>
              <w:spacing w:before="93" w:beforeLines="30" w:after="93" w:afterLines="30" w:line="440" w:lineRule="exact"/>
              <w:rPr>
                <w:rFonts w:hint="eastAsia" w:ascii="宋体" w:hAnsi="宋体" w:eastAsia="宋体" w:cs="宋体"/>
                <w:sz w:val="21"/>
                <w:szCs w:val="21"/>
              </w:rPr>
            </w:pPr>
            <w:r>
              <w:rPr>
                <w:rFonts w:hint="eastAsia" w:ascii="宋体" w:hAnsi="宋体" w:eastAsia="宋体" w:cs="宋体"/>
                <w:sz w:val="21"/>
                <w:szCs w:val="21"/>
              </w:rPr>
              <w:t>财务分析、财务管理学、财务会计学、成本会计学、房地产估价实务、房地产经济管理、房地产开发经营与管理、房地产开发企业会计、非营利组织管理、风险管理、高级财务管理、高级财务会计、工商企业管理、公共部门人力资源管理、公共关系学、公共管理学、公共行政学、公共政策学、公司战略与风险管理、管理会计学、管理信息系统、管理学、管理运筹学、国际会计、行政管理学、会计信息系统、会计学、建筑工程经济管理、金融公司会计、客户服务管理、劳动力市场学、劳动争议处理、领导科学、旅游餐饮服务企业会计、旅游学、企业管理概论、企业管理咨询与诊断、企业人力资源统计学、人力资源管理、人力资源开发与管理、商品流通管理、商业银行管理学、商业银行会计学、社会保障理论与实践、社会工作实务方法、社会调查研究方法、涉外企业会计、审计理论与实务、审计学、市场调查与预测、市场营销学、税务行政管理、税务会计学、税务稽查、物流企业会计、物业管理概论、薪酬管理、预算会计学、运筹学、战略管理、征管评估、政府与非营利组织会计、中国金融风险管理、中国税收征管制度、中级财务管理、中级财务会计、中小企业战略管理、资本运营理论与实务、组织行为学……</w:t>
            </w:r>
          </w:p>
        </w:tc>
      </w:tr>
      <w:tr w14:paraId="0190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noWrap w:val="0"/>
            <w:vAlign w:val="center"/>
          </w:tcPr>
          <w:p w14:paraId="58F52184">
            <w:pPr>
              <w:spacing w:before="93" w:beforeLines="30" w:after="93" w:afterLines="30" w:line="400" w:lineRule="exact"/>
              <w:jc w:val="center"/>
              <w:rPr>
                <w:rFonts w:hint="eastAsia" w:ascii="宋体" w:hAnsi="宋体"/>
                <w:sz w:val="24"/>
              </w:rPr>
            </w:pPr>
            <w:r>
              <w:rPr>
                <w:rFonts w:hint="eastAsia" w:ascii="宋体" w:hAnsi="宋体"/>
                <w:b/>
                <w:sz w:val="24"/>
              </w:rPr>
              <w:t>艺术学</w:t>
            </w:r>
          </w:p>
        </w:tc>
        <w:tc>
          <w:tcPr>
            <w:tcW w:w="7108" w:type="dxa"/>
            <w:noWrap w:val="0"/>
            <w:vAlign w:val="top"/>
          </w:tcPr>
          <w:p w14:paraId="09D9DBD1">
            <w:pPr>
              <w:spacing w:before="93" w:beforeLines="30" w:after="93" w:afterLines="30" w:line="440" w:lineRule="exact"/>
              <w:rPr>
                <w:rFonts w:hint="eastAsia" w:ascii="宋体" w:hAnsi="宋体" w:eastAsia="宋体" w:cs="宋体"/>
                <w:sz w:val="21"/>
                <w:szCs w:val="21"/>
              </w:rPr>
            </w:pPr>
            <w:r>
              <w:rPr>
                <w:rFonts w:hint="eastAsia" w:ascii="宋体" w:hAnsi="宋体" w:eastAsia="宋体" w:cs="宋体"/>
                <w:sz w:val="21"/>
                <w:szCs w:val="21"/>
              </w:rPr>
              <w:t>电影学、广播电视艺术学、基本乐理、美术概论、美术学、美学原理、设计艺术学概论、世界现代设计史、舞蹈学、戏剧学、戏曲学、艺术设计学、艺术学概论、中外工艺美术史、中外美术史……</w:t>
            </w:r>
          </w:p>
        </w:tc>
      </w:tr>
    </w:tbl>
    <w:p w14:paraId="70888ABE">
      <w:pPr>
        <w:pStyle w:val="6"/>
        <w:spacing w:line="360" w:lineRule="exact"/>
        <w:ind w:left="0" w:firstLine="420" w:firstLineChars="200"/>
        <w:rPr>
          <w:rFonts w:asciiTheme="minorEastAsia" w:hAnsiTheme="minorEastAsia" w:eastAsiaTheme="minorEastAsia" w:cstheme="minorBidi"/>
          <w:szCs w:val="21"/>
        </w:rPr>
      </w:pPr>
    </w:p>
    <w:p w14:paraId="160D7312">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textAlignment w:val="auto"/>
        <w:rPr>
          <w:rFonts w:hint="eastAsia" w:ascii="宋体" w:hAnsi="宋体" w:eastAsia="宋体" w:cs="宋体"/>
          <w:b/>
          <w:sz w:val="24"/>
          <w:szCs w:val="24"/>
        </w:rPr>
      </w:pPr>
    </w:p>
    <w:p w14:paraId="2D7C6EA3">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textAlignment w:val="auto"/>
        <w:rPr>
          <w:rFonts w:hint="eastAsia" w:ascii="宋体" w:hAnsi="宋体" w:eastAsia="宋体" w:cs="宋体"/>
          <w:b/>
          <w:sz w:val="24"/>
          <w:szCs w:val="24"/>
        </w:rPr>
      </w:pPr>
    </w:p>
    <w:p w14:paraId="5E0895C7">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三、中科JobLib就业与创业创新知识总库简介</w:t>
      </w:r>
    </w:p>
    <w:p w14:paraId="0C0842C3">
      <w:pPr>
        <w:spacing w:before="156" w:beforeLines="50" w:after="156" w:afterLines="50" w:line="500" w:lineRule="exact"/>
        <w:ind w:firstLine="480" w:firstLineChars="200"/>
        <w:rPr>
          <w:rFonts w:hint="eastAsia" w:ascii="宋体" w:hAnsi="宋体"/>
          <w:sz w:val="24"/>
        </w:rPr>
      </w:pPr>
      <w:r>
        <w:rPr>
          <w:rFonts w:hint="eastAsia" w:ascii="宋体" w:hAnsi="宋体"/>
          <w:sz w:val="24"/>
        </w:rPr>
        <w:t>“中科JobLib就业创业知识数据库”（简称“中科JobLib总库”）以切实提升大学生职业技能与就业竞争力为核心目标，以视频课程为核心资源，包含“职业技能与知识数字图书馆”（就业子库）和“创业创新数字图书馆”（创业子库）两个子库，通过“资源+平台+大数据+场景服务”耦合驱动的模式，将互联网大数据技术与情景化服务方式引入就业创业知识服务体系，具有知识资源权威、内容深度整合、学习工具全面、主动场景服务等特点。</w:t>
      </w:r>
    </w:p>
    <w:p w14:paraId="2145A894">
      <w:pPr>
        <w:spacing w:before="156" w:beforeLines="50" w:after="156" w:afterLines="50" w:line="500" w:lineRule="exact"/>
        <w:rPr>
          <w:rFonts w:hint="eastAsia" w:ascii="宋体" w:hAnsi="宋体"/>
          <w:sz w:val="24"/>
        </w:rPr>
      </w:pPr>
      <w:r>
        <w:rPr>
          <w:rFonts w:hint="eastAsia" w:ascii="宋体" w:hAnsi="宋体"/>
          <w:sz w:val="24"/>
        </w:rPr>
        <w:t xml:space="preserve">    中科JobLib总库聚焦职业精神、专业知识、职业技能、求职技巧、创新精神的有机融合，通过为用户提供完整高效的就业创业知识服务、持续更新的大数据服务、全面丰富的展示和应用服务，从而真正实现就业创业知识学习、职业规划与职业能力分析、以及就业创业全流程场景服务，是推进高校就业创业教育、提升大学生就业创业技能的重要服务保障系统，同时也是图书馆“读者第一”服务理念的具体体现和咨询服务的拓展延伸。</w:t>
      </w:r>
    </w:p>
    <w:p w14:paraId="5FB1958D">
      <w:pPr>
        <w:spacing w:before="156" w:beforeLines="50" w:after="156" w:afterLines="50" w:line="500" w:lineRule="exact"/>
        <w:rPr>
          <w:rFonts w:hint="eastAsia" w:ascii="宋体" w:hAnsi="宋体"/>
          <w:sz w:val="24"/>
        </w:rPr>
      </w:pPr>
      <w:r>
        <w:rPr>
          <w:rFonts w:hint="eastAsia" w:ascii="宋体" w:hAnsi="宋体"/>
          <w:sz w:val="24"/>
        </w:rPr>
        <w:t xml:space="preserve">    “职业技能与知识数字图书馆”为学生提供就业相关视频课程学习、就业政策与资讯、技能操作与职业能力测评等资源，配合就业全流程场景服务、专业大数据分析、职业倾向测试、学习过程分析、简历与面试指导、交流互动等环节，既是为大学生服务的系统化职业规划平台，也是为高校服务的就业指导共享平台。</w:t>
      </w:r>
    </w:p>
    <w:p w14:paraId="20E8E622">
      <w:pPr>
        <w:keepNext w:val="0"/>
        <w:keepLines w:val="0"/>
        <w:pageBreakBefore w:val="0"/>
        <w:widowControl w:val="0"/>
        <w:kinsoku/>
        <w:wordWrap/>
        <w:overflowPunct/>
        <w:topLinePunct w:val="0"/>
        <w:autoSpaceDE/>
        <w:autoSpaceDN/>
        <w:bidi w:val="0"/>
        <w:spacing w:before="157" w:beforeLines="50" w:after="157" w:afterLines="50" w:line="520" w:lineRule="exact"/>
        <w:ind w:firstLine="480" w:firstLineChars="200"/>
        <w:textAlignment w:val="auto"/>
        <w:rPr>
          <w:rFonts w:hint="eastAsia" w:ascii="宋体" w:hAnsi="宋体" w:eastAsia="宋体" w:cs="宋体"/>
          <w:sz w:val="24"/>
          <w:szCs w:val="24"/>
        </w:rPr>
      </w:pPr>
      <w:r>
        <w:rPr>
          <w:rFonts w:hint="eastAsia" w:ascii="宋体" w:hAnsi="宋体"/>
          <w:sz w:val="24"/>
        </w:rPr>
        <w:t>“创业创新数字图书馆”为学生创业创新提供专业化的创业视频课程及资讯的知识服务，同时也针对不同领域的创客提供精准化行业知识服务，并通过创业咨询、创业培训、项目评估、项目众筹等服务，真正实现创业知识学习、创业技能磨练、创业流程记录、创业过程管理以及创业众筹分享</w:t>
      </w:r>
      <w:r>
        <w:rPr>
          <w:rFonts w:hint="eastAsia" w:ascii="宋体" w:hAnsi="宋体" w:eastAsia="宋体" w:cs="宋体"/>
          <w:sz w:val="24"/>
          <w:szCs w:val="24"/>
        </w:rPr>
        <w:t>。</w:t>
      </w:r>
      <w:bookmarkStart w:id="0" w:name="_Toc4423"/>
    </w:p>
    <w:bookmarkEnd w:id="0"/>
    <w:p w14:paraId="6EEC234C">
      <w:pPr>
        <w:keepNext w:val="0"/>
        <w:keepLines w:val="0"/>
        <w:pageBreakBefore w:val="0"/>
        <w:widowControl w:val="0"/>
        <w:numPr>
          <w:ilvl w:val="0"/>
          <w:numId w:val="4"/>
        </w:numPr>
        <w:kinsoku/>
        <w:wordWrap/>
        <w:overflowPunct/>
        <w:topLinePunct w:val="0"/>
        <w:autoSpaceDE/>
        <w:autoSpaceDN/>
        <w:bidi w:val="0"/>
        <w:spacing w:before="157" w:beforeLines="50" w:after="157" w:afterLines="50" w:line="52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资源与功能特色</w:t>
      </w:r>
    </w:p>
    <w:p w14:paraId="7700193E">
      <w:pPr>
        <w:keepNext w:val="0"/>
        <w:keepLines w:val="0"/>
        <w:pageBreakBefore w:val="0"/>
        <w:widowControl w:val="0"/>
        <w:numPr>
          <w:ilvl w:val="0"/>
          <w:numId w:val="0"/>
        </w:numPr>
        <w:kinsoku/>
        <w:wordWrap/>
        <w:overflowPunct/>
        <w:topLinePunct w:val="0"/>
        <w:autoSpaceDE/>
        <w:autoSpaceDN/>
        <w:bidi w:val="0"/>
        <w:spacing w:before="157" w:beforeLines="50" w:after="157" w:afterLines="50" w:line="520" w:lineRule="exact"/>
        <w:ind w:firstLine="480" w:firstLineChars="200"/>
        <w:textAlignment w:val="auto"/>
        <w:rPr>
          <w:rFonts w:hint="eastAsia" w:ascii="宋体" w:hAnsi="宋体" w:eastAsia="宋体" w:cs="宋体"/>
          <w:b/>
          <w:sz w:val="24"/>
          <w:szCs w:val="24"/>
        </w:rPr>
      </w:pPr>
      <w:r>
        <w:rPr>
          <w:rFonts w:hint="eastAsia" w:ascii="宋体" w:hAnsi="宋体"/>
          <w:sz w:val="24"/>
        </w:rPr>
        <w:t xml:space="preserve"> 职业教育是培养技术技能人才、促进就业创业创新、推动中国制造和服务上水平的重要基础。加快发展现代职业教育，是培养高素质技术技能人才最高效、最基础的途径，是推动高质量发展的重要支撑，也是建设教育强国的必然要求。因此，职业教育类数据库作为大中专院校职业教育的资源保障系统，审慎评价数据库的资源的权威性、知识体系、版权等方面尤为重要。</w:t>
      </w:r>
    </w:p>
    <w:p w14:paraId="16815451">
      <w:pPr>
        <w:spacing w:before="156" w:beforeLines="50" w:after="156" w:afterLines="50" w:line="500" w:lineRule="exact"/>
        <w:ind w:firstLine="480" w:firstLineChars="200"/>
        <w:rPr>
          <w:rFonts w:hint="eastAsia" w:ascii="宋体" w:hAnsi="宋体"/>
          <w:b w:val="0"/>
          <w:bCs/>
          <w:sz w:val="24"/>
        </w:rPr>
      </w:pPr>
      <w:r>
        <w:rPr>
          <w:rFonts w:hint="eastAsia" w:ascii="宋体" w:hAnsi="宋体"/>
          <w:b w:val="0"/>
          <w:bCs/>
          <w:sz w:val="24"/>
          <w:lang w:eastAsia="zh-CN"/>
        </w:rPr>
        <w:t>（</w:t>
      </w:r>
      <w:r>
        <w:rPr>
          <w:rFonts w:hint="eastAsia" w:ascii="宋体" w:hAnsi="宋体"/>
          <w:b w:val="0"/>
          <w:bCs/>
          <w:sz w:val="24"/>
          <w:lang w:val="en-US" w:eastAsia="zh-CN"/>
        </w:rPr>
        <w:t>1</w:t>
      </w:r>
      <w:r>
        <w:rPr>
          <w:rFonts w:hint="eastAsia" w:ascii="宋体" w:hAnsi="宋体"/>
          <w:b w:val="0"/>
          <w:bCs/>
          <w:sz w:val="24"/>
          <w:lang w:eastAsia="zh-CN"/>
        </w:rPr>
        <w:t>）</w:t>
      </w:r>
      <w:r>
        <w:rPr>
          <w:rFonts w:hint="eastAsia" w:ascii="宋体" w:hAnsi="宋体"/>
          <w:b w:val="0"/>
          <w:bCs/>
          <w:sz w:val="24"/>
        </w:rPr>
        <w:t>知识体系科学完整</w:t>
      </w:r>
    </w:p>
    <w:p w14:paraId="4068FCF0">
      <w:pPr>
        <w:spacing w:before="156" w:beforeLines="50" w:after="156" w:afterLines="50" w:line="500" w:lineRule="exact"/>
        <w:rPr>
          <w:rFonts w:hint="eastAsia" w:ascii="宋体" w:hAnsi="宋体"/>
          <w:sz w:val="24"/>
        </w:rPr>
      </w:pPr>
      <w:r>
        <w:rPr>
          <w:rFonts w:hint="eastAsia" w:ascii="宋体" w:hAnsi="宋体"/>
          <w:sz w:val="24"/>
        </w:rPr>
        <w:t xml:space="preserve">    中科JobLib就业创业知识数据库及“X证书”课程体系以《国家职业教育改革实施方案》为纲，就业子库涵盖就业环境认知、职业认知、自我认知、职业规划、求职准备、简历制作技巧、笔试面试技巧、入职流程、职场适应、岗位技能提升、职场能力提升、劳动权益保障共12个专辑，创业子库涵盖创业基础知识、创新与创业、创业者素质培养、创业经验学习、创业入门与计划、创业机会与风险、创业基本程序、行业创业指导、创业企业成长、创业者素质提升、创业致胜战略共11个专辑，资源建设注重理论性与实践性相结合，全面满足学生的就业创业学习需求。</w:t>
      </w:r>
    </w:p>
    <w:p w14:paraId="3FEF9431">
      <w:pPr>
        <w:spacing w:before="156" w:beforeLines="50" w:after="156" w:afterLines="50" w:line="500" w:lineRule="exact"/>
        <w:ind w:firstLine="480" w:firstLineChars="200"/>
        <w:rPr>
          <w:rFonts w:hint="eastAsia" w:ascii="宋体" w:hAnsi="宋体"/>
          <w:b w:val="0"/>
          <w:bCs/>
          <w:sz w:val="24"/>
          <w:lang w:eastAsia="zh-CN"/>
        </w:rPr>
      </w:pPr>
      <w:r>
        <w:rPr>
          <w:rFonts w:hint="eastAsia" w:ascii="宋体" w:hAnsi="宋体"/>
          <w:b w:val="0"/>
          <w:bCs/>
          <w:sz w:val="24"/>
          <w:lang w:eastAsia="zh-CN"/>
        </w:rPr>
        <w:t>（</w:t>
      </w:r>
      <w:r>
        <w:rPr>
          <w:rFonts w:hint="eastAsia" w:ascii="宋体" w:hAnsi="宋体"/>
          <w:b w:val="0"/>
          <w:bCs/>
          <w:sz w:val="24"/>
          <w:lang w:val="en-US" w:eastAsia="zh-CN"/>
        </w:rPr>
        <w:t>2</w:t>
      </w:r>
      <w:r>
        <w:rPr>
          <w:rFonts w:hint="eastAsia" w:ascii="宋体" w:hAnsi="宋体"/>
          <w:b w:val="0"/>
          <w:bCs/>
          <w:sz w:val="24"/>
          <w:lang w:eastAsia="zh-CN"/>
        </w:rPr>
        <w:t>）授课专家阵容强大</w:t>
      </w:r>
    </w:p>
    <w:p w14:paraId="60D21180">
      <w:pPr>
        <w:spacing w:before="156" w:beforeLines="50" w:after="156" w:afterLines="50" w:line="500" w:lineRule="exact"/>
        <w:rPr>
          <w:rFonts w:hint="eastAsia" w:ascii="宋体" w:hAnsi="宋体"/>
          <w:sz w:val="24"/>
        </w:rPr>
      </w:pPr>
      <w:r>
        <w:rPr>
          <w:rFonts w:hint="eastAsia" w:ascii="宋体" w:hAnsi="宋体"/>
          <w:sz w:val="24"/>
        </w:rPr>
        <w:t xml:space="preserve">    中科JobLib总库内的全部视频课程均由A股上市公司“开元教育（300338）”、对啊网、极客学院等知名教培机构名师精心录制，教学团队经验丰富，课程内容丰富实用，助力广大青年学生走技能成才、技能报国之路。</w:t>
      </w:r>
    </w:p>
    <w:p w14:paraId="3CA3ADD3">
      <w:pPr>
        <w:spacing w:before="156" w:beforeLines="50" w:after="156" w:afterLines="50" w:line="500" w:lineRule="exact"/>
        <w:ind w:firstLine="480" w:firstLineChars="200"/>
        <w:rPr>
          <w:rFonts w:hint="eastAsia" w:ascii="宋体" w:hAnsi="宋体"/>
          <w:b w:val="0"/>
          <w:bCs/>
          <w:sz w:val="24"/>
          <w:lang w:eastAsia="zh-CN"/>
        </w:rPr>
      </w:pPr>
      <w:r>
        <w:rPr>
          <w:rFonts w:hint="eastAsia" w:ascii="宋体" w:hAnsi="宋体"/>
          <w:b w:val="0"/>
          <w:bCs/>
          <w:sz w:val="24"/>
          <w:lang w:eastAsia="zh-CN"/>
        </w:rPr>
        <w:t>（</w:t>
      </w:r>
      <w:r>
        <w:rPr>
          <w:rFonts w:hint="eastAsia" w:ascii="宋体" w:hAnsi="宋体"/>
          <w:b w:val="0"/>
          <w:bCs/>
          <w:sz w:val="24"/>
          <w:lang w:val="en-US" w:eastAsia="zh-CN"/>
        </w:rPr>
        <w:t>3</w:t>
      </w:r>
      <w:r>
        <w:rPr>
          <w:rFonts w:hint="eastAsia" w:ascii="宋体" w:hAnsi="宋体"/>
          <w:b w:val="0"/>
          <w:bCs/>
          <w:sz w:val="24"/>
          <w:lang w:eastAsia="zh-CN"/>
        </w:rPr>
        <w:t>）学习资源类型丰富</w:t>
      </w:r>
    </w:p>
    <w:p w14:paraId="712D9F86">
      <w:pPr>
        <w:spacing w:before="156" w:beforeLines="50" w:after="156" w:afterLines="50" w:line="500" w:lineRule="exact"/>
        <w:rPr>
          <w:rFonts w:hint="eastAsia" w:ascii="宋体" w:hAnsi="宋体"/>
          <w:sz w:val="24"/>
        </w:rPr>
      </w:pPr>
      <w:r>
        <w:rPr>
          <w:rFonts w:hint="eastAsia" w:ascii="宋体" w:hAnsi="宋体"/>
          <w:sz w:val="24"/>
        </w:rPr>
        <w:t xml:space="preserve">    中科JobLib总库既提供了就业与创新创业精品视频课程，又提供了职业能力测评工具、就业大数据、简历模板、创业能力测评工具、创业案例、创业材料模板等多种形式的学习资源，既便于学生开展个性化自主学习，同时也能为教师加强就业创业与职业教育研究提供权威、全面的资源保障。</w:t>
      </w:r>
    </w:p>
    <w:p w14:paraId="1223D6CB">
      <w:pPr>
        <w:spacing w:before="156" w:beforeLines="50" w:after="156" w:afterLines="50" w:line="500" w:lineRule="exact"/>
        <w:ind w:firstLine="480" w:firstLineChars="200"/>
        <w:rPr>
          <w:rFonts w:hint="eastAsia" w:ascii="宋体" w:hAnsi="宋体"/>
          <w:b w:val="0"/>
          <w:bCs/>
          <w:sz w:val="24"/>
          <w:lang w:eastAsia="zh-CN"/>
        </w:rPr>
      </w:pPr>
      <w:r>
        <w:rPr>
          <w:rFonts w:hint="eastAsia" w:ascii="宋体" w:hAnsi="宋体"/>
          <w:b w:val="0"/>
          <w:bCs/>
          <w:sz w:val="24"/>
          <w:lang w:eastAsia="zh-CN"/>
        </w:rPr>
        <w:t>（</w:t>
      </w:r>
      <w:r>
        <w:rPr>
          <w:rFonts w:hint="eastAsia" w:ascii="宋体" w:hAnsi="宋体"/>
          <w:b w:val="0"/>
          <w:bCs/>
          <w:sz w:val="24"/>
          <w:lang w:val="en-US" w:eastAsia="zh-CN"/>
        </w:rPr>
        <w:t>4</w:t>
      </w:r>
      <w:r>
        <w:rPr>
          <w:rFonts w:hint="eastAsia" w:ascii="宋体" w:hAnsi="宋体"/>
          <w:b w:val="0"/>
          <w:bCs/>
          <w:sz w:val="24"/>
          <w:lang w:eastAsia="zh-CN"/>
        </w:rPr>
        <w:t>）知识产权清晰合法</w:t>
      </w:r>
    </w:p>
    <w:p w14:paraId="5D934C48">
      <w:pPr>
        <w:numPr>
          <w:ilvl w:val="0"/>
          <w:numId w:val="0"/>
        </w:numPr>
        <w:spacing w:before="156" w:beforeLines="50" w:after="156" w:afterLines="50" w:line="500" w:lineRule="exact"/>
        <w:ind w:firstLine="480" w:firstLineChars="200"/>
        <w:rPr>
          <w:rFonts w:hint="eastAsia" w:ascii="宋体" w:hAnsi="宋体"/>
          <w:sz w:val="24"/>
        </w:rPr>
      </w:pPr>
      <w:r>
        <w:rPr>
          <w:rFonts w:hint="eastAsia" w:ascii="宋体" w:hAnsi="宋体"/>
          <w:sz w:val="24"/>
        </w:rPr>
        <w:t>从资源到平台、从设计到研发、从选题到制作，中科JobLib总库版权清晰、内容原创、资源来源合法，并拥有软件著作权证书、软件产品证书、版权授权书等多项版权证明材料。同时，中科JobLib总库的研发机构“中科软股教育科技（北京）股份有限公司”是中国版权协会常务理事单位，也是在全国中高等教育以及公共文化领域内唯一得到A股上市公司“开元教育（300338）”的职业技能课程合法授权的合作机构。</w:t>
      </w:r>
    </w:p>
    <w:p w14:paraId="2923FC8E">
      <w:pPr>
        <w:keepNext w:val="0"/>
        <w:keepLines w:val="0"/>
        <w:pageBreakBefore w:val="0"/>
        <w:widowControl w:val="0"/>
        <w:numPr>
          <w:ilvl w:val="0"/>
          <w:numId w:val="4"/>
        </w:numPr>
        <w:kinsoku/>
        <w:wordWrap/>
        <w:overflowPunct/>
        <w:topLinePunct w:val="0"/>
        <w:autoSpaceDE/>
        <w:autoSpaceDN/>
        <w:bidi w:val="0"/>
        <w:spacing w:before="157" w:beforeLines="50" w:after="157" w:afterLines="50" w:line="52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功能特色</w:t>
      </w:r>
    </w:p>
    <w:p w14:paraId="66DDCCDA">
      <w:pPr>
        <w:spacing w:before="156" w:beforeLines="50" w:after="156" w:afterLines="50" w:line="500" w:lineRule="exact"/>
        <w:ind w:firstLine="480" w:firstLineChars="200"/>
        <w:rPr>
          <w:rFonts w:hint="eastAsia" w:ascii="宋体" w:hAnsi="宋体" w:eastAsia="宋体" w:cs="宋体"/>
          <w:b w:val="0"/>
          <w:bCs/>
          <w:sz w:val="24"/>
        </w:rPr>
      </w:pPr>
      <w:r>
        <w:rPr>
          <w:rFonts w:hint="eastAsia" w:ascii="宋体" w:hAnsi="宋体" w:eastAsia="宋体" w:cs="宋体"/>
          <w:b w:val="0"/>
          <w:bCs/>
          <w:sz w:val="24"/>
          <w:lang w:eastAsia="zh-CN"/>
        </w:rPr>
        <w:t>（</w:t>
      </w:r>
      <w:r>
        <w:rPr>
          <w:rFonts w:hint="eastAsia" w:ascii="宋体" w:hAnsi="宋体" w:eastAsia="宋体" w:cs="宋体"/>
          <w:b w:val="0"/>
          <w:bCs/>
          <w:sz w:val="24"/>
          <w:lang w:val="en-US" w:eastAsia="zh-CN"/>
        </w:rPr>
        <w:t>1</w:t>
      </w:r>
      <w:r>
        <w:rPr>
          <w:rFonts w:hint="eastAsia" w:ascii="宋体" w:hAnsi="宋体" w:eastAsia="宋体" w:cs="宋体"/>
          <w:b w:val="0"/>
          <w:bCs/>
          <w:sz w:val="24"/>
          <w:lang w:eastAsia="zh-CN"/>
        </w:rPr>
        <w:t>）</w:t>
      </w:r>
      <w:r>
        <w:rPr>
          <w:rFonts w:hint="eastAsia" w:ascii="宋体" w:hAnsi="宋体" w:eastAsia="宋体" w:cs="宋体"/>
          <w:b w:val="0"/>
          <w:bCs/>
          <w:sz w:val="24"/>
        </w:rPr>
        <w:t>职业能力测评</w:t>
      </w:r>
    </w:p>
    <w:p w14:paraId="17E2007B">
      <w:pPr>
        <w:spacing w:before="156" w:beforeLines="50" w:after="156" w:afterLines="50" w:line="500" w:lineRule="exact"/>
        <w:rPr>
          <w:rFonts w:hint="eastAsia" w:ascii="宋体" w:hAnsi="宋体" w:eastAsiaTheme="minorEastAsia"/>
          <w:sz w:val="24"/>
          <w:lang w:eastAsia="zh-CN"/>
        </w:rPr>
      </w:pPr>
      <w:r>
        <w:rPr>
          <w:rFonts w:hint="eastAsia" w:ascii="宋体" w:hAnsi="宋体" w:cs="宋体"/>
          <w:sz w:val="24"/>
        </w:rPr>
        <w:t xml:space="preserve">    职业能力</w:t>
      </w:r>
      <w:r>
        <w:rPr>
          <w:rFonts w:ascii="宋体" w:hAnsi="宋体" w:cs="宋体"/>
          <w:sz w:val="24"/>
        </w:rPr>
        <w:t>测评的根本作用是实现人适其职，职得其人；人尽其才，才尽其用。</w:t>
      </w:r>
      <w:r>
        <w:rPr>
          <w:rFonts w:hint="eastAsia" w:ascii="宋体" w:hAnsi="宋体"/>
          <w:sz w:val="24"/>
        </w:rPr>
        <w:t>中科JobLib总库</w:t>
      </w:r>
      <w:r>
        <w:rPr>
          <w:rFonts w:hint="eastAsia" w:ascii="宋体" w:hAnsi="宋体" w:cs="宋体"/>
          <w:sz w:val="24"/>
        </w:rPr>
        <w:t>的职业能力测评系统提供基于心理学、行为学基础理论与实用职业素养于一体的科学</w:t>
      </w:r>
      <w:r>
        <w:rPr>
          <w:rFonts w:ascii="宋体" w:hAnsi="宋体" w:cs="宋体"/>
          <w:sz w:val="24"/>
        </w:rPr>
        <w:t>职业测评</w:t>
      </w:r>
      <w:r>
        <w:rPr>
          <w:rFonts w:hint="eastAsia" w:ascii="宋体" w:hAnsi="宋体" w:cs="宋体"/>
          <w:sz w:val="24"/>
        </w:rPr>
        <w:t>工具，一方面</w:t>
      </w:r>
      <w:r>
        <w:rPr>
          <w:rFonts w:ascii="宋体" w:hAnsi="宋体" w:cs="宋体"/>
          <w:sz w:val="24"/>
        </w:rPr>
        <w:t>帮助</w:t>
      </w:r>
      <w:r>
        <w:rPr>
          <w:rFonts w:hint="eastAsia" w:ascii="宋体" w:hAnsi="宋体" w:cs="宋体"/>
          <w:sz w:val="24"/>
        </w:rPr>
        <w:t>学生</w:t>
      </w:r>
      <w:r>
        <w:rPr>
          <w:rFonts w:ascii="宋体" w:hAnsi="宋体" w:cs="宋体"/>
          <w:sz w:val="24"/>
        </w:rPr>
        <w:t>准确地对自身兴趣、性格、</w:t>
      </w:r>
      <w:r>
        <w:rPr>
          <w:rFonts w:hint="eastAsia" w:ascii="宋体" w:hAnsi="宋体" w:cs="宋体"/>
          <w:sz w:val="24"/>
        </w:rPr>
        <w:t>价值观</w:t>
      </w:r>
      <w:r>
        <w:rPr>
          <w:rFonts w:ascii="宋体" w:hAnsi="宋体" w:cs="宋体"/>
          <w:sz w:val="24"/>
        </w:rPr>
        <w:t>等特征进行分析，发现自身潜在</w:t>
      </w:r>
      <w:r>
        <w:rPr>
          <w:rFonts w:hint="eastAsia" w:ascii="宋体" w:hAnsi="宋体" w:cs="宋体"/>
          <w:sz w:val="24"/>
        </w:rPr>
        <w:t>的</w:t>
      </w:r>
      <w:r>
        <w:rPr>
          <w:rFonts w:ascii="宋体" w:hAnsi="宋体" w:cs="宋体"/>
          <w:sz w:val="24"/>
        </w:rPr>
        <w:t>竞争优势</w:t>
      </w:r>
      <w:r>
        <w:rPr>
          <w:rFonts w:hint="eastAsia" w:ascii="宋体" w:hAnsi="宋体" w:cs="宋体"/>
          <w:sz w:val="24"/>
        </w:rPr>
        <w:t>；另一方面帮助学生对行业通识、岗位实操能力进行分析，以便学生更加准确的找到自己的</w:t>
      </w:r>
      <w:r>
        <w:rPr>
          <w:rFonts w:ascii="宋体" w:hAnsi="宋体" w:cs="宋体"/>
          <w:sz w:val="24"/>
        </w:rPr>
        <w:t>职业优势，减少求职误区。</w:t>
      </w:r>
    </w:p>
    <w:p w14:paraId="3151E750">
      <w:pPr>
        <w:spacing w:before="156" w:beforeLines="50" w:after="156" w:afterLines="50" w:line="500" w:lineRule="exact"/>
        <w:ind w:firstLine="480" w:firstLineChars="200"/>
        <w:rPr>
          <w:rFonts w:hint="eastAsia" w:ascii="宋体" w:hAnsi="宋体" w:eastAsia="宋体" w:cs="宋体"/>
          <w:b w:val="0"/>
          <w:bCs/>
          <w:sz w:val="24"/>
          <w:lang w:eastAsia="zh-CN"/>
        </w:rPr>
      </w:pPr>
      <w:r>
        <w:rPr>
          <w:rFonts w:hint="eastAsia" w:ascii="宋体" w:hAnsi="宋体" w:eastAsia="宋体" w:cs="宋体"/>
          <w:b w:val="0"/>
          <w:bCs/>
          <w:sz w:val="24"/>
          <w:lang w:eastAsia="zh-CN"/>
        </w:rPr>
        <w:t>（</w:t>
      </w:r>
      <w:r>
        <w:rPr>
          <w:rFonts w:hint="eastAsia" w:ascii="宋体" w:hAnsi="宋体" w:eastAsia="宋体" w:cs="宋体"/>
          <w:b w:val="0"/>
          <w:bCs/>
          <w:sz w:val="24"/>
          <w:lang w:val="en-US" w:eastAsia="zh-CN"/>
        </w:rPr>
        <w:t>2</w:t>
      </w:r>
      <w:r>
        <w:rPr>
          <w:rFonts w:hint="eastAsia" w:ascii="宋体" w:hAnsi="宋体" w:eastAsia="宋体" w:cs="宋体"/>
          <w:b w:val="0"/>
          <w:bCs/>
          <w:sz w:val="24"/>
          <w:lang w:eastAsia="zh-CN"/>
        </w:rPr>
        <w:t>）就业大数据</w:t>
      </w:r>
    </w:p>
    <w:p w14:paraId="2E20F129">
      <w:pPr>
        <w:spacing w:before="156" w:beforeLines="50" w:after="156" w:afterLines="50" w:line="500" w:lineRule="exact"/>
        <w:rPr>
          <w:rFonts w:hint="eastAsia" w:ascii="宋体" w:hAnsi="宋体" w:cs="宋体"/>
          <w:sz w:val="24"/>
        </w:rPr>
      </w:pPr>
      <w:r>
        <w:rPr>
          <w:rFonts w:hint="eastAsia" w:ascii="宋体" w:hAnsi="宋体" w:cs="宋体"/>
          <w:sz w:val="24"/>
        </w:rPr>
        <w:t xml:space="preserve">    </w:t>
      </w:r>
      <w:r>
        <w:rPr>
          <w:rFonts w:hint="eastAsia" w:ascii="宋体" w:hAnsi="宋体"/>
          <w:sz w:val="24"/>
        </w:rPr>
        <w:t>中科JobLib总库</w:t>
      </w:r>
      <w:r>
        <w:rPr>
          <w:rFonts w:hint="eastAsia" w:ascii="宋体" w:hAnsi="宋体" w:cs="宋体"/>
          <w:sz w:val="24"/>
        </w:rPr>
        <w:t>通过可视化界面呈现直观、全面、科学的行业大数据、职位大数据、城市大数据、专业大数据。与此同时，通过数据指标的筛选与定制，可以实现自定义数据地图、数据报表导出等功能，为学生就业选择提供数据支撑，从而规避就业风险，提高就业满意度。</w:t>
      </w:r>
    </w:p>
    <w:p w14:paraId="51B49640">
      <w:pPr>
        <w:spacing w:before="156" w:beforeLines="50" w:after="156" w:afterLines="50" w:line="500" w:lineRule="exact"/>
        <w:ind w:firstLine="480" w:firstLineChars="200"/>
        <w:rPr>
          <w:rFonts w:hint="eastAsia" w:ascii="宋体" w:hAnsi="宋体" w:eastAsia="宋体" w:cs="宋体"/>
          <w:b w:val="0"/>
          <w:bCs/>
          <w:sz w:val="24"/>
          <w:lang w:eastAsia="zh-CN"/>
        </w:rPr>
      </w:pPr>
      <w:r>
        <w:rPr>
          <w:rFonts w:hint="eastAsia" w:ascii="宋体" w:hAnsi="宋体" w:eastAsia="宋体" w:cs="宋体"/>
          <w:b w:val="0"/>
          <w:bCs/>
          <w:sz w:val="24"/>
          <w:lang w:eastAsia="zh-CN"/>
        </w:rPr>
        <w:t>（</w:t>
      </w:r>
      <w:r>
        <w:rPr>
          <w:rFonts w:hint="eastAsia" w:ascii="宋体" w:hAnsi="宋体" w:eastAsia="宋体" w:cs="宋体"/>
          <w:b w:val="0"/>
          <w:bCs/>
          <w:sz w:val="24"/>
          <w:lang w:val="en-US" w:eastAsia="zh-CN"/>
        </w:rPr>
        <w:t>3</w:t>
      </w:r>
      <w:r>
        <w:rPr>
          <w:rFonts w:hint="eastAsia" w:ascii="宋体" w:hAnsi="宋体" w:eastAsia="宋体" w:cs="宋体"/>
          <w:b w:val="0"/>
          <w:bCs/>
          <w:sz w:val="24"/>
          <w:lang w:eastAsia="zh-CN"/>
        </w:rPr>
        <w:t>）名企攻略</w:t>
      </w:r>
    </w:p>
    <w:p w14:paraId="2E6099FF">
      <w:pPr>
        <w:spacing w:before="156" w:beforeLines="50" w:after="156" w:afterLines="50" w:line="500" w:lineRule="exact"/>
        <w:rPr>
          <w:rFonts w:hint="eastAsia" w:ascii="宋体" w:hAnsi="宋体"/>
          <w:sz w:val="24"/>
        </w:rPr>
      </w:pPr>
      <w:r>
        <w:rPr>
          <w:rFonts w:hint="eastAsia" w:ascii="宋体" w:hAnsi="宋体" w:cs="宋体"/>
          <w:sz w:val="24"/>
        </w:rPr>
        <w:t xml:space="preserve">    定期更新各行业名企校招笔试和面试真题，</w:t>
      </w:r>
      <w:r>
        <w:rPr>
          <w:rFonts w:ascii="宋体" w:hAnsi="宋体" w:cs="宋体"/>
          <w:sz w:val="24"/>
        </w:rPr>
        <w:t>系统性梳理总结</w:t>
      </w:r>
      <w:r>
        <w:rPr>
          <w:rFonts w:hint="eastAsia" w:ascii="宋体" w:hAnsi="宋体" w:cs="宋体"/>
          <w:sz w:val="24"/>
        </w:rPr>
        <w:t>“</w:t>
      </w:r>
      <w:r>
        <w:rPr>
          <w:rFonts w:ascii="宋体" w:hAnsi="宋体" w:cs="宋体"/>
          <w:sz w:val="24"/>
        </w:rPr>
        <w:t>简历</w:t>
      </w:r>
      <w:r>
        <w:rPr>
          <w:rFonts w:hint="eastAsia" w:ascii="宋体" w:hAnsi="宋体" w:cs="宋体"/>
          <w:sz w:val="24"/>
        </w:rPr>
        <w:t>、</w:t>
      </w:r>
      <w:r>
        <w:rPr>
          <w:rFonts w:ascii="宋体" w:hAnsi="宋体" w:cs="宋体"/>
          <w:sz w:val="24"/>
        </w:rPr>
        <w:t>网申</w:t>
      </w:r>
      <w:r>
        <w:rPr>
          <w:rFonts w:hint="eastAsia" w:ascii="宋体" w:hAnsi="宋体" w:cs="宋体"/>
          <w:sz w:val="24"/>
        </w:rPr>
        <w:t>、</w:t>
      </w:r>
      <w:r>
        <w:rPr>
          <w:rFonts w:ascii="宋体" w:hAnsi="宋体" w:cs="宋体"/>
          <w:sz w:val="24"/>
        </w:rPr>
        <w:t>笔试</w:t>
      </w:r>
      <w:r>
        <w:rPr>
          <w:rFonts w:hint="eastAsia" w:ascii="宋体" w:hAnsi="宋体" w:cs="宋体"/>
          <w:sz w:val="24"/>
        </w:rPr>
        <w:t>、</w:t>
      </w:r>
      <w:r>
        <w:rPr>
          <w:rFonts w:ascii="宋体" w:hAnsi="宋体" w:cs="宋体"/>
          <w:sz w:val="24"/>
        </w:rPr>
        <w:t>群面</w:t>
      </w:r>
      <w:r>
        <w:rPr>
          <w:rFonts w:hint="eastAsia" w:ascii="宋体" w:hAnsi="宋体" w:cs="宋体"/>
          <w:sz w:val="24"/>
        </w:rPr>
        <w:t>、</w:t>
      </w:r>
      <w:r>
        <w:rPr>
          <w:rFonts w:ascii="宋体" w:hAnsi="宋体" w:cs="宋体"/>
          <w:sz w:val="24"/>
        </w:rPr>
        <w:t>案例面</w:t>
      </w:r>
      <w:r>
        <w:rPr>
          <w:rFonts w:hint="eastAsia" w:ascii="宋体" w:hAnsi="宋体" w:cs="宋体"/>
          <w:sz w:val="24"/>
        </w:rPr>
        <w:t>试、</w:t>
      </w:r>
      <w:r>
        <w:rPr>
          <w:rFonts w:ascii="宋体" w:hAnsi="宋体" w:cs="宋体"/>
          <w:sz w:val="24"/>
        </w:rPr>
        <w:t>行为</w:t>
      </w:r>
      <w:r>
        <w:rPr>
          <w:rFonts w:hint="eastAsia" w:ascii="宋体" w:hAnsi="宋体" w:cs="宋体"/>
          <w:sz w:val="24"/>
        </w:rPr>
        <w:t>面试”</w:t>
      </w:r>
      <w:r>
        <w:rPr>
          <w:rFonts w:ascii="宋体" w:hAnsi="宋体" w:cs="宋体"/>
          <w:sz w:val="24"/>
        </w:rPr>
        <w:t>的</w:t>
      </w:r>
      <w:r>
        <w:rPr>
          <w:rFonts w:hint="eastAsia" w:ascii="宋体" w:hAnsi="宋体" w:cs="宋体"/>
          <w:sz w:val="24"/>
        </w:rPr>
        <w:t>全流程</w:t>
      </w:r>
      <w:r>
        <w:rPr>
          <w:rFonts w:ascii="宋体" w:hAnsi="宋体" w:cs="宋体"/>
          <w:sz w:val="24"/>
        </w:rPr>
        <w:t>攻略，</w:t>
      </w:r>
      <w:r>
        <w:rPr>
          <w:rFonts w:hint="eastAsia" w:ascii="宋体" w:hAnsi="宋体" w:cs="宋体"/>
          <w:sz w:val="24"/>
        </w:rPr>
        <w:t>方便用户了解名企招聘流程、行为模式与技能要求，真正做到理论与实战相结合，从而帮助求职者为进入理想企业做好更加充分的准备。</w:t>
      </w:r>
    </w:p>
    <w:p w14:paraId="35392F1E">
      <w:pPr>
        <w:spacing w:before="156" w:beforeLines="50" w:after="156" w:afterLines="50" w:line="500" w:lineRule="exact"/>
        <w:ind w:firstLine="480" w:firstLineChars="200"/>
        <w:rPr>
          <w:rFonts w:hint="eastAsia" w:ascii="宋体" w:hAnsi="宋体" w:cs="宋体"/>
          <w:b/>
          <w:bCs/>
          <w:sz w:val="24"/>
        </w:rPr>
      </w:pPr>
      <w:r>
        <w:rPr>
          <w:rFonts w:hint="eastAsia" w:ascii="宋体" w:hAnsi="宋体" w:eastAsia="宋体" w:cs="宋体"/>
          <w:b w:val="0"/>
          <w:bCs/>
          <w:sz w:val="24"/>
          <w:lang w:eastAsia="zh-CN"/>
        </w:rPr>
        <w:t>（</w:t>
      </w:r>
      <w:r>
        <w:rPr>
          <w:rFonts w:hint="eastAsia" w:ascii="宋体" w:hAnsi="宋体" w:eastAsia="宋体" w:cs="宋体"/>
          <w:b w:val="0"/>
          <w:bCs/>
          <w:sz w:val="24"/>
          <w:lang w:val="en-US" w:eastAsia="zh-CN"/>
        </w:rPr>
        <w:t>4</w:t>
      </w:r>
      <w:r>
        <w:rPr>
          <w:rFonts w:hint="eastAsia" w:ascii="宋体" w:hAnsi="宋体" w:eastAsia="宋体" w:cs="宋体"/>
          <w:b w:val="0"/>
          <w:bCs/>
          <w:sz w:val="24"/>
          <w:lang w:eastAsia="zh-CN"/>
        </w:rPr>
        <w:t>）简历课堂</w:t>
      </w:r>
    </w:p>
    <w:p w14:paraId="2E28586F">
      <w:pPr>
        <w:spacing w:before="156" w:beforeLines="50" w:after="156" w:afterLines="50" w:line="500" w:lineRule="exact"/>
        <w:rPr>
          <w:rFonts w:hint="eastAsia" w:ascii="宋体" w:hAnsi="宋体"/>
          <w:sz w:val="24"/>
        </w:rPr>
      </w:pPr>
      <w:r>
        <w:rPr>
          <w:rFonts w:hint="eastAsia" w:ascii="宋体" w:hAnsi="宋体" w:cs="宋体"/>
          <w:sz w:val="24"/>
        </w:rPr>
        <w:t xml:space="preserve">    </w:t>
      </w:r>
      <w:r>
        <w:rPr>
          <w:rFonts w:hint="eastAsia" w:ascii="宋体" w:hAnsi="宋体"/>
          <w:sz w:val="24"/>
        </w:rPr>
        <w:t>中科JobLib总库</w:t>
      </w:r>
      <w:r>
        <w:rPr>
          <w:rFonts w:ascii="宋体" w:hAnsi="宋体" w:cs="宋体"/>
          <w:sz w:val="24"/>
        </w:rPr>
        <w:t>提供</w:t>
      </w:r>
      <w:r>
        <w:rPr>
          <w:rFonts w:hint="eastAsia" w:ascii="宋体" w:hAnsi="宋体" w:cs="宋体"/>
          <w:sz w:val="24"/>
        </w:rPr>
        <w:t>海量职位</w:t>
      </w:r>
      <w:r>
        <w:rPr>
          <w:rFonts w:ascii="宋体" w:hAnsi="宋体" w:cs="宋体"/>
          <w:sz w:val="24"/>
        </w:rPr>
        <w:t>通用简历模板及</w:t>
      </w:r>
      <w:r>
        <w:rPr>
          <w:rFonts w:hint="eastAsia" w:ascii="宋体" w:hAnsi="宋体" w:cs="宋体"/>
          <w:sz w:val="24"/>
        </w:rPr>
        <w:t>知名讲师独家</w:t>
      </w:r>
      <w:r>
        <w:rPr>
          <w:rFonts w:ascii="宋体" w:hAnsi="宋体" w:cs="宋体"/>
          <w:sz w:val="24"/>
        </w:rPr>
        <w:t>简历制作教程，</w:t>
      </w:r>
      <w:r>
        <w:rPr>
          <w:rFonts w:hint="eastAsia" w:ascii="宋体" w:hAnsi="宋体" w:cs="宋体"/>
          <w:sz w:val="24"/>
        </w:rPr>
        <w:t>同时</w:t>
      </w:r>
      <w:r>
        <w:rPr>
          <w:rFonts w:ascii="宋体" w:hAnsi="宋体" w:cs="宋体"/>
          <w:sz w:val="24"/>
        </w:rPr>
        <w:t>支持在线创建简历、批改简历等</w:t>
      </w:r>
      <w:r>
        <w:rPr>
          <w:rFonts w:hint="eastAsia" w:ascii="宋体" w:hAnsi="宋体" w:cs="宋体"/>
          <w:sz w:val="24"/>
        </w:rPr>
        <w:t>实用</w:t>
      </w:r>
      <w:r>
        <w:rPr>
          <w:rFonts w:ascii="宋体" w:hAnsi="宋体" w:cs="宋体"/>
          <w:sz w:val="24"/>
        </w:rPr>
        <w:t>功能，</w:t>
      </w:r>
      <w:r>
        <w:rPr>
          <w:rFonts w:hint="eastAsia" w:ascii="宋体" w:hAnsi="宋体" w:cs="宋体"/>
          <w:sz w:val="24"/>
        </w:rPr>
        <w:t>为学生</w:t>
      </w:r>
      <w:r>
        <w:rPr>
          <w:rFonts w:ascii="宋体" w:hAnsi="宋体" w:cs="宋体"/>
          <w:sz w:val="24"/>
        </w:rPr>
        <w:t>打造有投必应简历的秘诀</w:t>
      </w:r>
      <w:r>
        <w:rPr>
          <w:rFonts w:hint="eastAsia" w:ascii="宋体" w:hAnsi="宋体" w:cs="宋体"/>
          <w:sz w:val="24"/>
        </w:rPr>
        <w:t>，</w:t>
      </w:r>
      <w:r>
        <w:rPr>
          <w:rFonts w:ascii="宋体" w:hAnsi="宋体" w:cs="宋体"/>
          <w:sz w:val="24"/>
        </w:rPr>
        <w:t>通过“简”而有“力”的措辞</w:t>
      </w:r>
      <w:r>
        <w:rPr>
          <w:rFonts w:hint="eastAsia" w:ascii="宋体" w:hAnsi="宋体" w:cs="宋体"/>
          <w:sz w:val="24"/>
        </w:rPr>
        <w:t>、科学合理</w:t>
      </w:r>
      <w:r>
        <w:rPr>
          <w:rFonts w:ascii="宋体" w:hAnsi="宋体" w:cs="宋体"/>
          <w:sz w:val="24"/>
        </w:rPr>
        <w:t>的排版，在一页纸的内容内向</w:t>
      </w:r>
      <w:r>
        <w:rPr>
          <w:rFonts w:hint="eastAsia" w:ascii="宋体" w:hAnsi="宋体" w:cs="宋体"/>
          <w:sz w:val="24"/>
        </w:rPr>
        <w:t>应聘单位</w:t>
      </w:r>
      <w:r>
        <w:rPr>
          <w:rFonts w:ascii="宋体" w:hAnsi="宋体" w:cs="宋体"/>
          <w:sz w:val="24"/>
        </w:rPr>
        <w:t>展示最优秀的自己，</w:t>
      </w:r>
      <w:r>
        <w:rPr>
          <w:rFonts w:hint="eastAsia" w:ascii="宋体" w:hAnsi="宋体" w:cs="宋体"/>
          <w:sz w:val="24"/>
        </w:rPr>
        <w:t>从而</w:t>
      </w:r>
      <w:r>
        <w:rPr>
          <w:rFonts w:ascii="宋体" w:hAnsi="宋体" w:cs="宋体"/>
          <w:sz w:val="24"/>
        </w:rPr>
        <w:t>在简历环节脱颖而出。</w:t>
      </w:r>
    </w:p>
    <w:p w14:paraId="2CDADF6B">
      <w:pPr>
        <w:spacing w:before="156" w:beforeLines="50" w:after="156" w:afterLines="50" w:line="500" w:lineRule="exact"/>
        <w:ind w:firstLine="480" w:firstLineChars="200"/>
        <w:rPr>
          <w:rFonts w:hint="eastAsia" w:ascii="宋体" w:hAnsi="宋体" w:eastAsia="宋体" w:cs="宋体"/>
          <w:b w:val="0"/>
          <w:bCs/>
          <w:sz w:val="24"/>
          <w:lang w:eastAsia="zh-CN"/>
        </w:rPr>
      </w:pPr>
      <w:r>
        <w:rPr>
          <w:rFonts w:hint="eastAsia" w:ascii="宋体" w:hAnsi="宋体" w:eastAsia="宋体" w:cs="宋体"/>
          <w:b w:val="0"/>
          <w:bCs/>
          <w:sz w:val="24"/>
          <w:lang w:eastAsia="zh-CN"/>
        </w:rPr>
        <w:t>（</w:t>
      </w:r>
      <w:r>
        <w:rPr>
          <w:rFonts w:hint="eastAsia" w:ascii="宋体" w:hAnsi="宋体" w:eastAsia="宋体" w:cs="宋体"/>
          <w:b w:val="0"/>
          <w:bCs/>
          <w:sz w:val="24"/>
          <w:lang w:val="en-US" w:eastAsia="zh-CN"/>
        </w:rPr>
        <w:t>5</w:t>
      </w:r>
      <w:r>
        <w:rPr>
          <w:rFonts w:hint="eastAsia" w:ascii="宋体" w:hAnsi="宋体" w:eastAsia="宋体" w:cs="宋体"/>
          <w:b w:val="0"/>
          <w:bCs/>
          <w:sz w:val="24"/>
          <w:lang w:eastAsia="zh-CN"/>
        </w:rPr>
        <w:t>）创业创新能力测评</w:t>
      </w:r>
    </w:p>
    <w:p w14:paraId="552143CB">
      <w:pPr>
        <w:spacing w:before="156" w:beforeLines="50" w:after="156" w:afterLines="50" w:line="500" w:lineRule="exact"/>
        <w:rPr>
          <w:rFonts w:hint="eastAsia" w:ascii="宋体" w:hAnsi="宋体"/>
          <w:sz w:val="24"/>
        </w:rPr>
      </w:pPr>
      <w:r>
        <w:rPr>
          <w:rFonts w:hint="eastAsia"/>
          <w:sz w:val="24"/>
        </w:rPr>
        <w:t xml:space="preserve">    </w:t>
      </w:r>
      <w:r>
        <w:rPr>
          <w:rFonts w:hint="eastAsia" w:ascii="宋体" w:hAnsi="宋体"/>
          <w:sz w:val="24"/>
        </w:rPr>
        <w:t>中科JobLib总库</w:t>
      </w:r>
      <w:r>
        <w:rPr>
          <w:rFonts w:hint="eastAsia"/>
          <w:sz w:val="24"/>
        </w:rPr>
        <w:t>通过打造一站式测评系统，包括创业综合素质（创业兴趣、创业性格、创业洞察力）、创业经营管理知识测评（公司商法知识、财务营销知识、创业运营管理）和创业发展能力（创业基本能力、创业运营管理能力、市场营销能力、创业实战能力）等测评维度，帮助创客精准定位自身能力水平，走准创业之路的每一步。</w:t>
      </w:r>
    </w:p>
    <w:p w14:paraId="48A2D05D">
      <w:pPr>
        <w:spacing w:before="156" w:beforeLines="50" w:after="156" w:afterLines="50" w:line="500" w:lineRule="exact"/>
        <w:ind w:firstLine="480" w:firstLineChars="200"/>
        <w:rPr>
          <w:rFonts w:hint="eastAsia" w:ascii="宋体" w:hAnsi="宋体" w:eastAsia="宋体" w:cs="宋体"/>
          <w:b w:val="0"/>
          <w:bCs/>
          <w:sz w:val="24"/>
          <w:lang w:eastAsia="zh-CN"/>
        </w:rPr>
      </w:pPr>
      <w:r>
        <w:rPr>
          <w:rFonts w:hint="eastAsia" w:ascii="宋体" w:hAnsi="宋体" w:eastAsia="宋体" w:cs="宋体"/>
          <w:b w:val="0"/>
          <w:bCs/>
          <w:sz w:val="24"/>
          <w:lang w:eastAsia="zh-CN"/>
        </w:rPr>
        <w:t>（</w:t>
      </w:r>
      <w:r>
        <w:rPr>
          <w:rFonts w:hint="eastAsia" w:ascii="宋体" w:hAnsi="宋体" w:eastAsia="宋体" w:cs="宋体"/>
          <w:b w:val="0"/>
          <w:bCs/>
          <w:sz w:val="24"/>
          <w:lang w:val="en-US" w:eastAsia="zh-CN"/>
        </w:rPr>
        <w:t>6</w:t>
      </w:r>
      <w:r>
        <w:rPr>
          <w:rFonts w:hint="eastAsia" w:ascii="宋体" w:hAnsi="宋体" w:eastAsia="宋体" w:cs="宋体"/>
          <w:b w:val="0"/>
          <w:bCs/>
          <w:sz w:val="24"/>
          <w:lang w:eastAsia="zh-CN"/>
        </w:rPr>
        <w:t>）创业实操课堂</w:t>
      </w:r>
    </w:p>
    <w:p w14:paraId="3C6C3B6A">
      <w:pPr>
        <w:pStyle w:val="17"/>
        <w:spacing w:before="156" w:beforeLines="50" w:after="156" w:afterLines="50" w:line="500" w:lineRule="exact"/>
        <w:ind w:firstLine="0" w:firstLineChars="0"/>
        <w:rPr>
          <w:rFonts w:hint="eastAsia" w:ascii="宋体" w:hAnsi="宋体" w:cs="宋体"/>
          <w:sz w:val="24"/>
        </w:rPr>
      </w:pPr>
      <w:r>
        <w:rPr>
          <w:rFonts w:hint="eastAsia" w:ascii="宋体" w:hAnsi="宋体" w:cs="宋体"/>
          <w:sz w:val="24"/>
        </w:rPr>
        <w:t xml:space="preserve">    提供项目计划书、可行性分析报告等创业材料模板，并提供工商注册登记指南及相关材料模板下载与项目评估等服务，为创客创业提供切实帮助。与此同时，针对创业实战，提供部分企业经营模拟场景，支持创客的每一站服务。</w:t>
      </w:r>
    </w:p>
    <w:p w14:paraId="24A4E1B6">
      <w:pPr>
        <w:spacing w:before="156" w:beforeLines="50" w:after="156" w:afterLines="50" w:line="500" w:lineRule="exact"/>
        <w:ind w:firstLine="480" w:firstLineChars="200"/>
        <w:rPr>
          <w:rFonts w:hint="eastAsia" w:ascii="宋体" w:hAnsi="宋体" w:eastAsia="宋体" w:cs="宋体"/>
          <w:b w:val="0"/>
          <w:bCs/>
          <w:sz w:val="24"/>
          <w:lang w:eastAsia="zh-CN"/>
        </w:rPr>
      </w:pPr>
      <w:r>
        <w:rPr>
          <w:rFonts w:hint="eastAsia" w:ascii="宋体" w:hAnsi="宋体" w:eastAsia="宋体" w:cs="宋体"/>
          <w:b w:val="0"/>
          <w:bCs/>
          <w:sz w:val="24"/>
          <w:lang w:eastAsia="zh-CN"/>
        </w:rPr>
        <w:t>（</w:t>
      </w:r>
      <w:r>
        <w:rPr>
          <w:rFonts w:hint="eastAsia" w:ascii="宋体" w:hAnsi="宋体" w:eastAsia="宋体" w:cs="宋体"/>
          <w:b w:val="0"/>
          <w:bCs/>
          <w:sz w:val="24"/>
          <w:lang w:val="en-US" w:eastAsia="zh-CN"/>
        </w:rPr>
        <w:t>7</w:t>
      </w:r>
      <w:r>
        <w:rPr>
          <w:rFonts w:hint="eastAsia" w:ascii="宋体" w:hAnsi="宋体" w:eastAsia="宋体" w:cs="宋体"/>
          <w:b w:val="0"/>
          <w:bCs/>
          <w:sz w:val="24"/>
          <w:lang w:eastAsia="zh-CN"/>
        </w:rPr>
        <w:t>）创业邦</w:t>
      </w:r>
    </w:p>
    <w:p w14:paraId="3B411A8A">
      <w:pPr>
        <w:numPr>
          <w:ilvl w:val="0"/>
          <w:numId w:val="0"/>
        </w:numPr>
        <w:spacing w:before="156" w:beforeLines="50" w:after="156" w:afterLines="50" w:line="500" w:lineRule="exact"/>
        <w:ind w:firstLine="480" w:firstLineChars="200"/>
        <w:rPr>
          <w:rFonts w:hint="eastAsia" w:ascii="宋体" w:hAnsi="宋体" w:cs="宋体"/>
          <w:sz w:val="24"/>
        </w:rPr>
      </w:pPr>
      <w:r>
        <w:rPr>
          <w:rFonts w:hint="eastAsia" w:ascii="宋体" w:hAnsi="宋体" w:cs="宋体"/>
          <w:sz w:val="24"/>
        </w:rPr>
        <w:t>“创业邦”全面整合最新最热门的创投事件，通过各行业领域创投信息的推送，为创客的创业创新提供思路；创业家、小败局等创业故事栏目，全面剖析创业过程中的风险与机遇，为创客创业创新提供前车之鉴；创业论坛、大咖直播提供交流互动平台，</w:t>
      </w:r>
      <w:r>
        <w:rPr>
          <w:rFonts w:hint="eastAsia"/>
          <w:bCs/>
          <w:sz w:val="24"/>
        </w:rPr>
        <w:t>通过在线交流、直播互动、论坛发帖等方式，邀请创业团队、创业成功人士、投资人等交流创业投资经验，</w:t>
      </w:r>
      <w:r>
        <w:rPr>
          <w:rFonts w:hint="eastAsia" w:ascii="宋体" w:hAnsi="宋体" w:cs="宋体"/>
          <w:sz w:val="24"/>
        </w:rPr>
        <w:t>针对某一领域内的创业话题，沟通项目开展过程中遇到的问题，</w:t>
      </w:r>
      <w:r>
        <w:rPr>
          <w:rFonts w:hint="eastAsia"/>
          <w:bCs/>
          <w:sz w:val="24"/>
        </w:rPr>
        <w:t>帮助创客拓宽</w:t>
      </w:r>
      <w:r>
        <w:rPr>
          <w:rFonts w:hint="eastAsia" w:ascii="宋体" w:hAnsi="宋体" w:cs="宋体"/>
          <w:sz w:val="24"/>
        </w:rPr>
        <w:t>项目开展思路和方法，提高创业成功率。</w:t>
      </w:r>
    </w:p>
    <w:p w14:paraId="22E6B831">
      <w:pPr>
        <w:spacing w:before="156" w:beforeLines="50" w:after="156" w:afterLines="50" w:line="500" w:lineRule="exact"/>
        <w:ind w:firstLine="480" w:firstLineChars="200"/>
        <w:rPr>
          <w:rFonts w:hint="eastAsia" w:ascii="宋体" w:hAnsi="宋体" w:eastAsia="宋体" w:cs="宋体"/>
          <w:b w:val="0"/>
          <w:bCs/>
          <w:sz w:val="24"/>
          <w:lang w:eastAsia="zh-CN"/>
        </w:rPr>
      </w:pPr>
      <w:r>
        <w:rPr>
          <w:rFonts w:hint="eastAsia" w:ascii="宋体" w:hAnsi="宋体" w:eastAsia="宋体" w:cs="宋体"/>
          <w:b w:val="0"/>
          <w:bCs/>
          <w:sz w:val="24"/>
          <w:lang w:eastAsia="zh-CN"/>
        </w:rPr>
        <w:t>（</w:t>
      </w:r>
      <w:r>
        <w:rPr>
          <w:rFonts w:hint="eastAsia" w:ascii="宋体" w:hAnsi="宋体" w:eastAsia="宋体" w:cs="宋体"/>
          <w:b w:val="0"/>
          <w:bCs/>
          <w:sz w:val="24"/>
          <w:lang w:val="en-US" w:eastAsia="zh-CN"/>
        </w:rPr>
        <w:t>8</w:t>
      </w:r>
      <w:r>
        <w:rPr>
          <w:rFonts w:hint="eastAsia" w:ascii="宋体" w:hAnsi="宋体" w:eastAsia="宋体" w:cs="宋体"/>
          <w:b w:val="0"/>
          <w:bCs/>
          <w:sz w:val="24"/>
          <w:lang w:eastAsia="zh-CN"/>
        </w:rPr>
        <w:t>）移动应用</w:t>
      </w:r>
    </w:p>
    <w:p w14:paraId="2431B41F">
      <w:pPr>
        <w:spacing w:before="156" w:beforeLines="50" w:after="156" w:afterLines="50" w:line="500" w:lineRule="exact"/>
        <w:ind w:firstLine="480" w:firstLineChars="200"/>
        <w:rPr>
          <w:rFonts w:hint="eastAsia" w:ascii="宋体" w:hAnsi="宋体"/>
          <w:sz w:val="24"/>
        </w:rPr>
      </w:pPr>
      <w:r>
        <w:rPr>
          <w:rFonts w:hint="eastAsia" w:ascii="宋体" w:hAnsi="宋体"/>
          <w:sz w:val="24"/>
        </w:rPr>
        <w:t>为便于不同类型的用户在不同场景下随时随地使用，中科JobLib就业创业知识数据库开创性地提供了“全模式全贯通”服务模式，同时为用户提供了电脑WEB端、微信端、手机WAP端、安卓APP端、苹果APP端等应用端。</w:t>
      </w:r>
    </w:p>
    <w:p w14:paraId="76C5DA0E">
      <w:pPr>
        <w:numPr>
          <w:ilvl w:val="0"/>
          <w:numId w:val="0"/>
        </w:numPr>
        <w:spacing w:before="156" w:beforeLines="50" w:after="156" w:afterLines="50" w:line="500" w:lineRule="exact"/>
        <w:ind w:firstLine="480" w:firstLineChars="200"/>
        <w:rPr>
          <w:rFonts w:hint="eastAsia" w:ascii="宋体" w:hAnsi="宋体"/>
          <w:sz w:val="24"/>
          <w:lang w:eastAsia="zh-CN"/>
        </w:rPr>
      </w:pPr>
      <w:r>
        <w:rPr>
          <w:rFonts w:hint="eastAsia" w:ascii="宋体" w:hAnsi="宋体"/>
          <w:sz w:val="24"/>
        </w:rPr>
        <w:t>各应用端的数据互联互通，用户仅需注册一个账户，即可畅游中科JobLib总库的全部应用端，实现在手机、平板、电脑应用场景下的无缝切换；并且用户的学习记录与个性化学习资源自动关联更新，真正实现随时随地想学即学</w:t>
      </w:r>
      <w:r>
        <w:rPr>
          <w:rFonts w:hint="eastAsia" w:ascii="宋体" w:hAnsi="宋体"/>
          <w:sz w:val="24"/>
          <w:lang w:eastAsia="zh-CN"/>
        </w:rPr>
        <w:t>。</w:t>
      </w:r>
    </w:p>
    <w:p w14:paraId="50091496">
      <w:pPr>
        <w:pStyle w:val="14"/>
        <w:numPr>
          <w:ilvl w:val="0"/>
          <w:numId w:val="0"/>
        </w:numPr>
        <w:adjustRightInd w:val="0"/>
        <w:snapToGrid w:val="0"/>
        <w:spacing w:line="360" w:lineRule="exact"/>
        <w:ind w:left="360" w:leftChars="0"/>
        <w:rPr>
          <w:rFonts w:hint="default"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3.《中科JobLib就业与创业创新知识总库》知识体系</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1581"/>
        <w:gridCol w:w="5421"/>
      </w:tblGrid>
      <w:tr w14:paraId="1FC78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shd w:val="clear" w:color="auto" w:fill="CCECFF"/>
            <w:noWrap w:val="0"/>
            <w:vAlign w:val="center"/>
          </w:tcPr>
          <w:p w14:paraId="5B3283DB">
            <w:pPr>
              <w:spacing w:before="93" w:beforeLines="30" w:after="93" w:afterLines="30" w:line="400" w:lineRule="exact"/>
              <w:jc w:val="center"/>
              <w:rPr>
                <w:rFonts w:hint="eastAsia" w:ascii="宋体" w:hAnsi="宋体"/>
                <w:b/>
                <w:sz w:val="24"/>
              </w:rPr>
            </w:pPr>
            <w:r>
              <w:rPr>
                <w:rFonts w:hint="eastAsia" w:ascii="宋体" w:hAnsi="宋体"/>
                <w:b/>
                <w:sz w:val="24"/>
              </w:rPr>
              <w:t>子库</w:t>
            </w:r>
          </w:p>
        </w:tc>
        <w:tc>
          <w:tcPr>
            <w:tcW w:w="7200" w:type="dxa"/>
            <w:gridSpan w:val="2"/>
            <w:shd w:val="clear" w:color="auto" w:fill="CCECFF"/>
            <w:noWrap w:val="0"/>
            <w:vAlign w:val="center"/>
          </w:tcPr>
          <w:p w14:paraId="6C1EC299">
            <w:pPr>
              <w:spacing w:before="156" w:beforeLines="50" w:after="156" w:afterLines="50" w:line="520" w:lineRule="exact"/>
              <w:jc w:val="center"/>
              <w:rPr>
                <w:rFonts w:hint="eastAsia" w:ascii="宋体" w:hAnsi="宋体"/>
                <w:b/>
                <w:sz w:val="24"/>
              </w:rPr>
            </w:pPr>
            <w:r>
              <w:rPr>
                <w:rFonts w:hint="eastAsia" w:ascii="宋体" w:hAnsi="宋体"/>
                <w:b/>
                <w:sz w:val="24"/>
              </w:rPr>
              <w:t>视频课程知识体系</w:t>
            </w:r>
          </w:p>
        </w:tc>
      </w:tr>
      <w:tr w14:paraId="40AD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restart"/>
            <w:noWrap w:val="0"/>
            <w:vAlign w:val="center"/>
          </w:tcPr>
          <w:p w14:paraId="0146DB01">
            <w:pPr>
              <w:spacing w:before="93" w:beforeLines="30" w:after="93" w:afterLines="30" w:line="400" w:lineRule="exact"/>
              <w:jc w:val="center"/>
              <w:rPr>
                <w:rFonts w:hint="eastAsia" w:ascii="宋体" w:hAnsi="宋体"/>
                <w:sz w:val="24"/>
              </w:rPr>
            </w:pPr>
            <w:r>
              <w:rPr>
                <w:rFonts w:hint="eastAsia" w:ascii="宋体" w:hAnsi="宋体"/>
                <w:sz w:val="24"/>
              </w:rPr>
              <w:t>职业技能与知识数字图书馆</w:t>
            </w:r>
          </w:p>
          <w:p w14:paraId="7BFE85A4">
            <w:pPr>
              <w:spacing w:before="93" w:beforeLines="30" w:after="93" w:afterLines="30" w:line="400" w:lineRule="exact"/>
              <w:jc w:val="center"/>
              <w:rPr>
                <w:rFonts w:hint="eastAsia" w:ascii="宋体" w:hAnsi="宋体"/>
                <w:sz w:val="24"/>
              </w:rPr>
            </w:pPr>
            <w:r>
              <w:rPr>
                <w:rFonts w:hint="eastAsia" w:ascii="宋体" w:hAnsi="宋体"/>
                <w:sz w:val="24"/>
              </w:rPr>
              <w:t>（就业子库）</w:t>
            </w:r>
          </w:p>
        </w:tc>
        <w:tc>
          <w:tcPr>
            <w:tcW w:w="1620" w:type="dxa"/>
            <w:noWrap w:val="0"/>
            <w:vAlign w:val="center"/>
          </w:tcPr>
          <w:p w14:paraId="751917BE">
            <w:pPr>
              <w:spacing w:before="93" w:beforeLines="30" w:after="93" w:afterLines="30" w:line="420" w:lineRule="exact"/>
              <w:jc w:val="center"/>
              <w:rPr>
                <w:rFonts w:hint="eastAsia" w:ascii="宋体" w:hAnsi="宋体"/>
                <w:szCs w:val="21"/>
              </w:rPr>
            </w:pPr>
            <w:r>
              <w:rPr>
                <w:rFonts w:hint="eastAsia" w:ascii="宋体" w:hAnsi="宋体"/>
                <w:szCs w:val="21"/>
              </w:rPr>
              <w:t>就业环境认知</w:t>
            </w:r>
          </w:p>
        </w:tc>
        <w:tc>
          <w:tcPr>
            <w:tcW w:w="5580" w:type="dxa"/>
            <w:noWrap w:val="0"/>
            <w:vAlign w:val="center"/>
          </w:tcPr>
          <w:p w14:paraId="44D13454">
            <w:pPr>
              <w:spacing w:before="93" w:beforeLines="30" w:after="93" w:afterLines="30" w:line="420" w:lineRule="exact"/>
              <w:rPr>
                <w:rFonts w:hint="eastAsia" w:ascii="宋体" w:hAnsi="宋体"/>
                <w:szCs w:val="21"/>
              </w:rPr>
            </w:pPr>
            <w:r>
              <w:rPr>
                <w:rFonts w:hint="eastAsia" w:ascii="宋体" w:hAnsi="宋体"/>
                <w:szCs w:val="21"/>
              </w:rPr>
              <w:t>就业形势分析、就业政策、SWOT分析、端正就业观；</w:t>
            </w:r>
          </w:p>
        </w:tc>
      </w:tr>
      <w:tr w14:paraId="5066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noWrap w:val="0"/>
            <w:vAlign w:val="center"/>
          </w:tcPr>
          <w:p w14:paraId="6553BB10">
            <w:pPr>
              <w:spacing w:before="93" w:beforeLines="30" w:after="93" w:afterLines="30" w:line="400" w:lineRule="exact"/>
              <w:jc w:val="center"/>
              <w:rPr>
                <w:rFonts w:hint="eastAsia" w:ascii="宋体" w:hAnsi="宋体"/>
                <w:sz w:val="24"/>
              </w:rPr>
            </w:pPr>
          </w:p>
        </w:tc>
        <w:tc>
          <w:tcPr>
            <w:tcW w:w="1620" w:type="dxa"/>
            <w:noWrap w:val="0"/>
            <w:vAlign w:val="center"/>
          </w:tcPr>
          <w:p w14:paraId="367E3FE2">
            <w:pPr>
              <w:spacing w:before="93" w:beforeLines="30" w:after="93" w:afterLines="30" w:line="420" w:lineRule="exact"/>
              <w:jc w:val="center"/>
              <w:rPr>
                <w:rFonts w:hint="eastAsia" w:ascii="宋体" w:hAnsi="宋体"/>
                <w:bCs/>
                <w:szCs w:val="21"/>
              </w:rPr>
            </w:pPr>
            <w:r>
              <w:rPr>
                <w:rFonts w:hint="eastAsia" w:ascii="宋体" w:hAnsi="宋体"/>
                <w:bCs/>
                <w:szCs w:val="21"/>
              </w:rPr>
              <w:t>职业认知</w:t>
            </w:r>
          </w:p>
        </w:tc>
        <w:tc>
          <w:tcPr>
            <w:tcW w:w="5580" w:type="dxa"/>
            <w:noWrap w:val="0"/>
            <w:vAlign w:val="center"/>
          </w:tcPr>
          <w:p w14:paraId="4EC0540E">
            <w:pPr>
              <w:spacing w:before="93" w:beforeLines="30" w:after="93" w:afterLines="30" w:line="420" w:lineRule="exact"/>
              <w:rPr>
                <w:rFonts w:hint="eastAsia" w:ascii="宋体" w:hAnsi="宋体"/>
                <w:bCs/>
                <w:szCs w:val="21"/>
              </w:rPr>
            </w:pPr>
            <w:r>
              <w:rPr>
                <w:rFonts w:hint="eastAsia" w:ascii="宋体" w:hAnsi="宋体"/>
                <w:bCs/>
                <w:szCs w:val="21"/>
              </w:rPr>
              <w:t>职业选择与专业；</w:t>
            </w:r>
          </w:p>
        </w:tc>
      </w:tr>
      <w:tr w14:paraId="3AFA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noWrap w:val="0"/>
            <w:vAlign w:val="center"/>
          </w:tcPr>
          <w:p w14:paraId="2201C806">
            <w:pPr>
              <w:spacing w:before="93" w:beforeLines="30" w:after="93" w:afterLines="30" w:line="400" w:lineRule="exact"/>
              <w:jc w:val="center"/>
              <w:rPr>
                <w:rFonts w:hint="eastAsia" w:ascii="宋体" w:hAnsi="宋体"/>
                <w:sz w:val="24"/>
              </w:rPr>
            </w:pPr>
          </w:p>
        </w:tc>
        <w:tc>
          <w:tcPr>
            <w:tcW w:w="1620" w:type="dxa"/>
            <w:noWrap w:val="0"/>
            <w:vAlign w:val="center"/>
          </w:tcPr>
          <w:p w14:paraId="47759A4A">
            <w:pPr>
              <w:spacing w:before="93" w:beforeLines="30" w:after="93" w:afterLines="30" w:line="420" w:lineRule="exact"/>
              <w:jc w:val="center"/>
              <w:rPr>
                <w:rFonts w:hint="eastAsia" w:ascii="宋体" w:hAnsi="宋体"/>
                <w:bCs/>
                <w:szCs w:val="21"/>
              </w:rPr>
            </w:pPr>
            <w:r>
              <w:rPr>
                <w:rFonts w:hint="eastAsia" w:ascii="宋体" w:hAnsi="宋体"/>
                <w:bCs/>
                <w:szCs w:val="21"/>
              </w:rPr>
              <w:t>自我认知</w:t>
            </w:r>
          </w:p>
        </w:tc>
        <w:tc>
          <w:tcPr>
            <w:tcW w:w="5580" w:type="dxa"/>
            <w:noWrap w:val="0"/>
            <w:vAlign w:val="center"/>
          </w:tcPr>
          <w:p w14:paraId="4C9858D5">
            <w:pPr>
              <w:spacing w:before="93" w:beforeLines="30" w:after="93" w:afterLines="30" w:line="420" w:lineRule="exact"/>
              <w:rPr>
                <w:rFonts w:hint="eastAsia" w:ascii="宋体" w:hAnsi="宋体"/>
                <w:bCs/>
                <w:szCs w:val="21"/>
              </w:rPr>
            </w:pPr>
            <w:r>
              <w:rPr>
                <w:rFonts w:hint="eastAsia" w:ascii="宋体" w:hAnsi="宋体"/>
                <w:bCs/>
                <w:szCs w:val="21"/>
              </w:rPr>
              <w:t>职业性格认知；</w:t>
            </w:r>
          </w:p>
        </w:tc>
      </w:tr>
      <w:tr w14:paraId="2293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noWrap w:val="0"/>
            <w:vAlign w:val="center"/>
          </w:tcPr>
          <w:p w14:paraId="516987D0">
            <w:pPr>
              <w:spacing w:before="93" w:beforeLines="30" w:after="93" w:afterLines="30" w:line="400" w:lineRule="exact"/>
              <w:jc w:val="center"/>
              <w:rPr>
                <w:rFonts w:hint="eastAsia" w:ascii="宋体" w:hAnsi="宋体"/>
                <w:sz w:val="24"/>
              </w:rPr>
            </w:pPr>
          </w:p>
        </w:tc>
        <w:tc>
          <w:tcPr>
            <w:tcW w:w="1620" w:type="dxa"/>
            <w:noWrap w:val="0"/>
            <w:vAlign w:val="center"/>
          </w:tcPr>
          <w:p w14:paraId="5ECEEDB7">
            <w:pPr>
              <w:spacing w:before="93" w:beforeLines="30" w:after="93" w:afterLines="30" w:line="420" w:lineRule="exact"/>
              <w:jc w:val="center"/>
              <w:rPr>
                <w:rFonts w:hint="eastAsia" w:ascii="宋体" w:hAnsi="宋体" w:cs="宋体"/>
                <w:szCs w:val="21"/>
              </w:rPr>
            </w:pPr>
            <w:r>
              <w:rPr>
                <w:rFonts w:hint="eastAsia" w:ascii="宋体" w:hAnsi="宋体"/>
                <w:szCs w:val="21"/>
              </w:rPr>
              <w:t>职业规划</w:t>
            </w:r>
          </w:p>
        </w:tc>
        <w:tc>
          <w:tcPr>
            <w:tcW w:w="5580" w:type="dxa"/>
            <w:noWrap w:val="0"/>
            <w:vAlign w:val="center"/>
          </w:tcPr>
          <w:p w14:paraId="66690670">
            <w:pPr>
              <w:spacing w:before="93" w:beforeLines="30" w:after="93" w:afterLines="30" w:line="420" w:lineRule="exact"/>
              <w:rPr>
                <w:rFonts w:hint="eastAsia" w:ascii="宋体" w:hAnsi="宋体" w:cs="宋体"/>
                <w:szCs w:val="21"/>
              </w:rPr>
            </w:pPr>
            <w:r>
              <w:rPr>
                <w:rFonts w:hint="eastAsia" w:ascii="宋体" w:hAnsi="宋体" w:cs="宋体"/>
                <w:szCs w:val="21"/>
              </w:rPr>
              <w:t>职业生涯及规划、职业规划目标；</w:t>
            </w:r>
          </w:p>
        </w:tc>
      </w:tr>
      <w:tr w14:paraId="2E3C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noWrap w:val="0"/>
            <w:vAlign w:val="center"/>
          </w:tcPr>
          <w:p w14:paraId="56E5CAB3">
            <w:pPr>
              <w:spacing w:before="93" w:beforeLines="30" w:after="93" w:afterLines="30" w:line="400" w:lineRule="exact"/>
              <w:jc w:val="center"/>
              <w:rPr>
                <w:rFonts w:hint="eastAsia" w:ascii="宋体" w:hAnsi="宋体"/>
                <w:sz w:val="24"/>
              </w:rPr>
            </w:pPr>
          </w:p>
        </w:tc>
        <w:tc>
          <w:tcPr>
            <w:tcW w:w="1620" w:type="dxa"/>
            <w:noWrap w:val="0"/>
            <w:vAlign w:val="center"/>
          </w:tcPr>
          <w:p w14:paraId="5200BB77">
            <w:pPr>
              <w:spacing w:before="93" w:beforeLines="30" w:after="93" w:afterLines="30" w:line="420" w:lineRule="exact"/>
              <w:jc w:val="center"/>
              <w:rPr>
                <w:rFonts w:hint="eastAsia" w:ascii="宋体" w:hAnsi="宋体" w:cs="宋体"/>
                <w:szCs w:val="21"/>
              </w:rPr>
            </w:pPr>
            <w:r>
              <w:rPr>
                <w:rFonts w:hint="eastAsia" w:ascii="宋体" w:hAnsi="宋体"/>
                <w:szCs w:val="21"/>
              </w:rPr>
              <w:t>求职准备</w:t>
            </w:r>
          </w:p>
        </w:tc>
        <w:tc>
          <w:tcPr>
            <w:tcW w:w="5580" w:type="dxa"/>
            <w:noWrap w:val="0"/>
            <w:vAlign w:val="center"/>
          </w:tcPr>
          <w:p w14:paraId="582BCF7E">
            <w:pPr>
              <w:spacing w:before="93" w:beforeLines="30" w:after="93" w:afterLines="30" w:line="420" w:lineRule="exact"/>
              <w:rPr>
                <w:rFonts w:hint="eastAsia" w:ascii="宋体" w:hAnsi="宋体" w:cs="宋体"/>
                <w:szCs w:val="21"/>
              </w:rPr>
            </w:pPr>
            <w:r>
              <w:rPr>
                <w:rFonts w:hint="eastAsia" w:ascii="宋体" w:hAnsi="宋体" w:cs="宋体"/>
                <w:szCs w:val="21"/>
              </w:rPr>
              <w:t>求职心理调适、搜集就业信息、应聘公司评估；</w:t>
            </w:r>
          </w:p>
        </w:tc>
      </w:tr>
      <w:tr w14:paraId="0600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noWrap w:val="0"/>
            <w:vAlign w:val="center"/>
          </w:tcPr>
          <w:p w14:paraId="6BBC37D7">
            <w:pPr>
              <w:spacing w:before="93" w:beforeLines="30" w:after="93" w:afterLines="30" w:line="400" w:lineRule="exact"/>
              <w:jc w:val="center"/>
              <w:rPr>
                <w:rFonts w:hint="eastAsia" w:ascii="宋体" w:hAnsi="宋体"/>
                <w:sz w:val="24"/>
              </w:rPr>
            </w:pPr>
          </w:p>
        </w:tc>
        <w:tc>
          <w:tcPr>
            <w:tcW w:w="1620" w:type="dxa"/>
            <w:noWrap w:val="0"/>
            <w:vAlign w:val="center"/>
          </w:tcPr>
          <w:p w14:paraId="0D40EED1">
            <w:pPr>
              <w:spacing w:before="93" w:beforeLines="30" w:after="93" w:afterLines="30" w:line="420" w:lineRule="exact"/>
              <w:jc w:val="center"/>
              <w:rPr>
                <w:rFonts w:hint="eastAsia" w:ascii="宋体" w:hAnsi="宋体" w:cs="宋体"/>
                <w:szCs w:val="21"/>
              </w:rPr>
            </w:pPr>
            <w:r>
              <w:rPr>
                <w:rFonts w:hint="eastAsia" w:ascii="宋体" w:hAnsi="宋体"/>
                <w:szCs w:val="21"/>
              </w:rPr>
              <w:t>简历制作技巧</w:t>
            </w:r>
          </w:p>
        </w:tc>
        <w:tc>
          <w:tcPr>
            <w:tcW w:w="5580" w:type="dxa"/>
            <w:noWrap w:val="0"/>
            <w:vAlign w:val="center"/>
          </w:tcPr>
          <w:p w14:paraId="0A1598ED">
            <w:pPr>
              <w:spacing w:before="93" w:beforeLines="30" w:after="93" w:afterLines="30" w:line="420" w:lineRule="exact"/>
              <w:rPr>
                <w:rFonts w:hint="eastAsia" w:ascii="宋体" w:hAnsi="宋体" w:cs="宋体"/>
                <w:szCs w:val="21"/>
              </w:rPr>
            </w:pPr>
            <w:r>
              <w:rPr>
                <w:rFonts w:hint="eastAsia" w:ascii="宋体" w:hAnsi="宋体" w:cs="宋体"/>
                <w:szCs w:val="21"/>
              </w:rPr>
              <w:t>简历基本内容、简历制作步骤、求职信写作指导；</w:t>
            </w:r>
          </w:p>
        </w:tc>
      </w:tr>
      <w:tr w14:paraId="6DA4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noWrap w:val="0"/>
            <w:vAlign w:val="center"/>
          </w:tcPr>
          <w:p w14:paraId="5CD0BB77">
            <w:pPr>
              <w:spacing w:before="93" w:beforeLines="30" w:after="93" w:afterLines="30" w:line="400" w:lineRule="exact"/>
              <w:jc w:val="center"/>
              <w:rPr>
                <w:rFonts w:hint="eastAsia" w:ascii="宋体" w:hAnsi="宋体"/>
                <w:sz w:val="24"/>
              </w:rPr>
            </w:pPr>
          </w:p>
        </w:tc>
        <w:tc>
          <w:tcPr>
            <w:tcW w:w="1620" w:type="dxa"/>
            <w:noWrap w:val="0"/>
            <w:vAlign w:val="center"/>
          </w:tcPr>
          <w:p w14:paraId="3439AC5A">
            <w:pPr>
              <w:spacing w:before="93" w:beforeLines="30" w:after="93" w:afterLines="30" w:line="420" w:lineRule="exact"/>
              <w:jc w:val="center"/>
              <w:rPr>
                <w:rFonts w:hint="eastAsia" w:ascii="宋体" w:hAnsi="宋体" w:cs="宋体"/>
                <w:szCs w:val="21"/>
              </w:rPr>
            </w:pPr>
            <w:r>
              <w:rPr>
                <w:rFonts w:hint="eastAsia" w:ascii="宋体" w:hAnsi="宋体"/>
                <w:szCs w:val="21"/>
              </w:rPr>
              <w:t>笔试面试技巧</w:t>
            </w:r>
          </w:p>
        </w:tc>
        <w:tc>
          <w:tcPr>
            <w:tcW w:w="5580" w:type="dxa"/>
            <w:noWrap w:val="0"/>
            <w:vAlign w:val="center"/>
          </w:tcPr>
          <w:p w14:paraId="2AB74123">
            <w:pPr>
              <w:spacing w:before="93" w:beforeLines="30" w:after="93" w:afterLines="30" w:line="420" w:lineRule="exact"/>
              <w:rPr>
                <w:rFonts w:hint="eastAsia" w:ascii="宋体" w:hAnsi="宋体" w:cs="宋体"/>
                <w:szCs w:val="21"/>
              </w:rPr>
            </w:pPr>
            <w:r>
              <w:rPr>
                <w:rFonts w:hint="eastAsia" w:ascii="宋体" w:hAnsi="宋体" w:cs="宋体"/>
                <w:szCs w:val="21"/>
              </w:rPr>
              <w:t>求职礼仪、面试技巧、薪酬谈判；</w:t>
            </w:r>
          </w:p>
        </w:tc>
      </w:tr>
      <w:tr w14:paraId="090C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noWrap w:val="0"/>
            <w:vAlign w:val="center"/>
          </w:tcPr>
          <w:p w14:paraId="21F1F96C">
            <w:pPr>
              <w:spacing w:before="93" w:beforeLines="30" w:after="93" w:afterLines="30" w:line="400" w:lineRule="exact"/>
              <w:jc w:val="center"/>
              <w:rPr>
                <w:rFonts w:hint="eastAsia" w:ascii="宋体" w:hAnsi="宋体"/>
                <w:sz w:val="24"/>
              </w:rPr>
            </w:pPr>
          </w:p>
        </w:tc>
        <w:tc>
          <w:tcPr>
            <w:tcW w:w="1620" w:type="dxa"/>
            <w:noWrap w:val="0"/>
            <w:vAlign w:val="center"/>
          </w:tcPr>
          <w:p w14:paraId="00E3F148">
            <w:pPr>
              <w:spacing w:before="93" w:beforeLines="30" w:after="93" w:afterLines="30" w:line="420" w:lineRule="exact"/>
              <w:jc w:val="center"/>
              <w:rPr>
                <w:rFonts w:hint="eastAsia" w:ascii="宋体" w:hAnsi="宋体" w:cs="宋体"/>
                <w:szCs w:val="21"/>
              </w:rPr>
            </w:pPr>
            <w:r>
              <w:rPr>
                <w:rFonts w:hint="eastAsia" w:ascii="宋体" w:hAnsi="宋体"/>
                <w:szCs w:val="21"/>
              </w:rPr>
              <w:t>入职流程</w:t>
            </w:r>
          </w:p>
        </w:tc>
        <w:tc>
          <w:tcPr>
            <w:tcW w:w="5580" w:type="dxa"/>
            <w:noWrap w:val="0"/>
            <w:vAlign w:val="center"/>
          </w:tcPr>
          <w:p w14:paraId="4AECC0BA">
            <w:pPr>
              <w:spacing w:before="93" w:beforeLines="30" w:after="93" w:afterLines="30" w:line="420" w:lineRule="exact"/>
              <w:rPr>
                <w:rFonts w:hint="eastAsia" w:ascii="宋体" w:hAnsi="宋体" w:cs="宋体"/>
                <w:szCs w:val="21"/>
              </w:rPr>
            </w:pPr>
            <w:r>
              <w:rPr>
                <w:rFonts w:hint="eastAsia" w:ascii="宋体" w:hAnsi="宋体" w:cs="宋体"/>
                <w:szCs w:val="21"/>
              </w:rPr>
              <w:t>劳动合同签订；</w:t>
            </w:r>
          </w:p>
        </w:tc>
      </w:tr>
      <w:tr w14:paraId="788B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noWrap w:val="0"/>
            <w:vAlign w:val="center"/>
          </w:tcPr>
          <w:p w14:paraId="5CE45E20">
            <w:pPr>
              <w:spacing w:before="93" w:beforeLines="30" w:after="93" w:afterLines="30" w:line="400" w:lineRule="exact"/>
              <w:jc w:val="center"/>
              <w:rPr>
                <w:rFonts w:hint="eastAsia" w:ascii="宋体" w:hAnsi="宋体"/>
                <w:sz w:val="24"/>
              </w:rPr>
            </w:pPr>
          </w:p>
        </w:tc>
        <w:tc>
          <w:tcPr>
            <w:tcW w:w="1620" w:type="dxa"/>
            <w:noWrap w:val="0"/>
            <w:vAlign w:val="center"/>
          </w:tcPr>
          <w:p w14:paraId="06DB4126">
            <w:pPr>
              <w:spacing w:before="93" w:beforeLines="30" w:after="93" w:afterLines="30" w:line="420" w:lineRule="exact"/>
              <w:jc w:val="center"/>
              <w:rPr>
                <w:rFonts w:hint="eastAsia" w:ascii="宋体" w:hAnsi="宋体" w:cs="宋体"/>
                <w:szCs w:val="21"/>
              </w:rPr>
            </w:pPr>
            <w:r>
              <w:rPr>
                <w:rFonts w:hint="eastAsia" w:ascii="宋体" w:hAnsi="宋体"/>
                <w:szCs w:val="21"/>
              </w:rPr>
              <w:t>职场适应</w:t>
            </w:r>
          </w:p>
        </w:tc>
        <w:tc>
          <w:tcPr>
            <w:tcW w:w="5580" w:type="dxa"/>
            <w:noWrap w:val="0"/>
            <w:vAlign w:val="center"/>
          </w:tcPr>
          <w:p w14:paraId="0462F9CD">
            <w:pPr>
              <w:spacing w:before="93" w:beforeLines="30" w:after="93" w:afterLines="30" w:line="420" w:lineRule="exact"/>
              <w:rPr>
                <w:rFonts w:hint="eastAsia" w:ascii="宋体" w:hAnsi="宋体" w:cs="宋体"/>
                <w:szCs w:val="21"/>
              </w:rPr>
            </w:pPr>
            <w:r>
              <w:rPr>
                <w:rFonts w:hint="eastAsia" w:ascii="宋体" w:hAnsi="宋体" w:cs="宋体"/>
                <w:szCs w:val="21"/>
              </w:rPr>
              <w:t>职业素养、职场礼仪、工作态度、人际交往沟通、职场危机处理、试用期法则；</w:t>
            </w:r>
          </w:p>
        </w:tc>
      </w:tr>
      <w:tr w14:paraId="1935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noWrap w:val="0"/>
            <w:vAlign w:val="center"/>
          </w:tcPr>
          <w:p w14:paraId="19BD5B2C">
            <w:pPr>
              <w:spacing w:before="93" w:beforeLines="30" w:after="93" w:afterLines="30" w:line="400" w:lineRule="exact"/>
              <w:jc w:val="center"/>
              <w:rPr>
                <w:rFonts w:hint="eastAsia" w:ascii="宋体" w:hAnsi="宋体"/>
                <w:sz w:val="24"/>
              </w:rPr>
            </w:pPr>
          </w:p>
        </w:tc>
        <w:tc>
          <w:tcPr>
            <w:tcW w:w="1620" w:type="dxa"/>
            <w:noWrap w:val="0"/>
            <w:vAlign w:val="center"/>
          </w:tcPr>
          <w:p w14:paraId="46B6728A">
            <w:pPr>
              <w:spacing w:before="93" w:beforeLines="30" w:after="93" w:afterLines="30" w:line="420" w:lineRule="exact"/>
              <w:jc w:val="center"/>
              <w:rPr>
                <w:rFonts w:hint="eastAsia" w:ascii="宋体" w:hAnsi="宋体" w:cs="宋体"/>
                <w:szCs w:val="21"/>
              </w:rPr>
            </w:pPr>
            <w:r>
              <w:rPr>
                <w:rFonts w:hint="eastAsia" w:ascii="宋体" w:hAnsi="宋体"/>
                <w:szCs w:val="21"/>
              </w:rPr>
              <w:t>岗位技能提升</w:t>
            </w:r>
          </w:p>
        </w:tc>
        <w:tc>
          <w:tcPr>
            <w:tcW w:w="5580" w:type="dxa"/>
            <w:noWrap w:val="0"/>
            <w:vAlign w:val="center"/>
          </w:tcPr>
          <w:p w14:paraId="2CA0BCD1">
            <w:pPr>
              <w:spacing w:before="93" w:beforeLines="30" w:after="93" w:afterLines="30" w:line="420" w:lineRule="exact"/>
              <w:rPr>
                <w:rFonts w:hint="eastAsia" w:ascii="宋体" w:hAnsi="宋体" w:cs="宋体"/>
                <w:szCs w:val="21"/>
              </w:rPr>
            </w:pPr>
            <w:r>
              <w:rPr>
                <w:rFonts w:hint="eastAsia" w:ascii="宋体" w:hAnsi="宋体" w:cs="宋体"/>
                <w:szCs w:val="21"/>
              </w:rPr>
              <w:t>人事岗位、行政文秘岗位、客服岗位、财务会计岗位、法务岗位、投资金融岗位、研发设计岗位；</w:t>
            </w:r>
          </w:p>
        </w:tc>
      </w:tr>
      <w:tr w14:paraId="2628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noWrap w:val="0"/>
            <w:vAlign w:val="center"/>
          </w:tcPr>
          <w:p w14:paraId="1A118845">
            <w:pPr>
              <w:spacing w:before="93" w:beforeLines="30" w:after="93" w:afterLines="30" w:line="400" w:lineRule="exact"/>
              <w:jc w:val="center"/>
              <w:rPr>
                <w:rFonts w:hint="eastAsia" w:ascii="宋体" w:hAnsi="宋体"/>
                <w:sz w:val="24"/>
              </w:rPr>
            </w:pPr>
          </w:p>
        </w:tc>
        <w:tc>
          <w:tcPr>
            <w:tcW w:w="1620" w:type="dxa"/>
            <w:noWrap w:val="0"/>
            <w:vAlign w:val="center"/>
          </w:tcPr>
          <w:p w14:paraId="1E0CF508">
            <w:pPr>
              <w:spacing w:before="93" w:beforeLines="30" w:after="93" w:afterLines="30" w:line="420" w:lineRule="exact"/>
              <w:jc w:val="center"/>
              <w:rPr>
                <w:rFonts w:hint="eastAsia" w:ascii="宋体" w:hAnsi="宋体"/>
                <w:szCs w:val="21"/>
              </w:rPr>
            </w:pPr>
            <w:r>
              <w:rPr>
                <w:rFonts w:hint="eastAsia" w:ascii="宋体" w:hAnsi="宋体"/>
                <w:szCs w:val="21"/>
              </w:rPr>
              <w:t>职场能力提升</w:t>
            </w:r>
          </w:p>
        </w:tc>
        <w:tc>
          <w:tcPr>
            <w:tcW w:w="5580" w:type="dxa"/>
            <w:noWrap w:val="0"/>
            <w:vAlign w:val="center"/>
          </w:tcPr>
          <w:p w14:paraId="43240D6F">
            <w:pPr>
              <w:spacing w:before="93" w:beforeLines="30" w:after="93" w:afterLines="30" w:line="420" w:lineRule="exact"/>
              <w:rPr>
                <w:rFonts w:hint="eastAsia" w:ascii="宋体" w:hAnsi="宋体" w:cs="宋体"/>
                <w:szCs w:val="21"/>
              </w:rPr>
            </w:pPr>
            <w:r>
              <w:rPr>
                <w:rFonts w:hint="eastAsia" w:ascii="宋体" w:hAnsi="宋体" w:cs="宋体"/>
                <w:szCs w:val="21"/>
              </w:rPr>
              <w:t>职场商务能力、职场法律知识、职场精英训练营；</w:t>
            </w:r>
          </w:p>
        </w:tc>
      </w:tr>
      <w:tr w14:paraId="5A31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noWrap w:val="0"/>
            <w:vAlign w:val="center"/>
          </w:tcPr>
          <w:p w14:paraId="7D82A734">
            <w:pPr>
              <w:spacing w:before="93" w:beforeLines="30" w:after="93" w:afterLines="30" w:line="400" w:lineRule="exact"/>
              <w:jc w:val="center"/>
              <w:rPr>
                <w:rFonts w:hint="eastAsia" w:ascii="宋体" w:hAnsi="宋体"/>
                <w:sz w:val="24"/>
              </w:rPr>
            </w:pPr>
          </w:p>
        </w:tc>
        <w:tc>
          <w:tcPr>
            <w:tcW w:w="1620" w:type="dxa"/>
            <w:noWrap w:val="0"/>
            <w:vAlign w:val="center"/>
          </w:tcPr>
          <w:p w14:paraId="079C2DE4">
            <w:pPr>
              <w:spacing w:before="93" w:beforeLines="30" w:after="93" w:afterLines="30" w:line="420" w:lineRule="exact"/>
              <w:jc w:val="center"/>
              <w:rPr>
                <w:rFonts w:ascii="宋体" w:hAnsi="宋体"/>
                <w:bCs/>
                <w:szCs w:val="21"/>
              </w:rPr>
            </w:pPr>
            <w:r>
              <w:rPr>
                <w:rFonts w:hint="eastAsia" w:ascii="宋体" w:hAnsi="宋体"/>
                <w:szCs w:val="21"/>
              </w:rPr>
              <w:t>劳动权益保障</w:t>
            </w:r>
          </w:p>
        </w:tc>
        <w:tc>
          <w:tcPr>
            <w:tcW w:w="5580" w:type="dxa"/>
            <w:noWrap w:val="0"/>
            <w:vAlign w:val="center"/>
          </w:tcPr>
          <w:p w14:paraId="5C0B2830">
            <w:pPr>
              <w:spacing w:before="93" w:beforeLines="30" w:after="93" w:afterLines="30" w:line="420" w:lineRule="exact"/>
              <w:rPr>
                <w:rFonts w:hint="eastAsia" w:ascii="宋体" w:hAnsi="宋体"/>
                <w:bCs/>
                <w:szCs w:val="21"/>
              </w:rPr>
            </w:pPr>
            <w:r>
              <w:rPr>
                <w:rFonts w:hint="eastAsia" w:ascii="宋体" w:hAnsi="宋体"/>
                <w:bCs/>
                <w:szCs w:val="21"/>
              </w:rPr>
              <w:t>就业权利与义务、社会保险、就业安全、维权保障。</w:t>
            </w:r>
          </w:p>
        </w:tc>
      </w:tr>
      <w:tr w14:paraId="3C24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restart"/>
            <w:noWrap w:val="0"/>
            <w:vAlign w:val="center"/>
          </w:tcPr>
          <w:p w14:paraId="7205CB57">
            <w:pPr>
              <w:spacing w:before="93" w:beforeLines="30" w:after="93" w:afterLines="30" w:line="400" w:lineRule="exact"/>
              <w:jc w:val="center"/>
              <w:rPr>
                <w:rFonts w:hint="eastAsia" w:ascii="宋体" w:hAnsi="宋体"/>
                <w:sz w:val="24"/>
              </w:rPr>
            </w:pPr>
            <w:r>
              <w:rPr>
                <w:rFonts w:hint="eastAsia" w:ascii="宋体" w:hAnsi="宋体"/>
                <w:sz w:val="24"/>
              </w:rPr>
              <w:t>创业创新数字图书馆</w:t>
            </w:r>
          </w:p>
          <w:p w14:paraId="57A49AE1">
            <w:pPr>
              <w:spacing w:before="93" w:beforeLines="30" w:after="93" w:afterLines="30" w:line="400" w:lineRule="exact"/>
              <w:jc w:val="center"/>
              <w:rPr>
                <w:rFonts w:hint="eastAsia" w:ascii="宋体" w:hAnsi="宋体"/>
                <w:sz w:val="24"/>
              </w:rPr>
            </w:pPr>
            <w:r>
              <w:rPr>
                <w:rFonts w:hint="eastAsia" w:ascii="宋体" w:hAnsi="宋体"/>
                <w:sz w:val="24"/>
              </w:rPr>
              <w:t>（创业子库）</w:t>
            </w:r>
          </w:p>
        </w:tc>
        <w:tc>
          <w:tcPr>
            <w:tcW w:w="1620" w:type="dxa"/>
            <w:noWrap w:val="0"/>
            <w:vAlign w:val="center"/>
          </w:tcPr>
          <w:p w14:paraId="1FB4D4B1">
            <w:pPr>
              <w:spacing w:before="93" w:beforeLines="30" w:after="93" w:afterLines="30" w:line="420" w:lineRule="exact"/>
              <w:jc w:val="center"/>
              <w:rPr>
                <w:rFonts w:hint="eastAsia" w:ascii="宋体" w:hAnsi="宋体"/>
                <w:szCs w:val="21"/>
              </w:rPr>
            </w:pPr>
            <w:r>
              <w:rPr>
                <w:rFonts w:hint="eastAsia" w:ascii="宋体" w:hAnsi="宋体"/>
                <w:szCs w:val="21"/>
              </w:rPr>
              <w:t>创业基础知识</w:t>
            </w:r>
          </w:p>
        </w:tc>
        <w:tc>
          <w:tcPr>
            <w:tcW w:w="5580" w:type="dxa"/>
            <w:noWrap w:val="0"/>
            <w:vAlign w:val="center"/>
          </w:tcPr>
          <w:p w14:paraId="53F3246D">
            <w:pPr>
              <w:spacing w:before="93" w:beforeLines="30" w:after="93" w:afterLines="30" w:line="420" w:lineRule="exact"/>
              <w:rPr>
                <w:rFonts w:hint="eastAsia" w:ascii="宋体" w:hAnsi="宋体"/>
                <w:szCs w:val="21"/>
              </w:rPr>
            </w:pPr>
            <w:r>
              <w:rPr>
                <w:rFonts w:hint="eastAsia" w:ascii="宋体" w:hAnsi="宋体"/>
                <w:szCs w:val="21"/>
              </w:rPr>
              <w:t>创业概念、创业本质、创业精神、创业要素、创业类型、创业意义、创业模式；</w:t>
            </w:r>
          </w:p>
        </w:tc>
      </w:tr>
      <w:tr w14:paraId="67A7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noWrap w:val="0"/>
            <w:vAlign w:val="center"/>
          </w:tcPr>
          <w:p w14:paraId="237D3567">
            <w:pPr>
              <w:spacing w:before="93" w:beforeLines="30" w:after="93" w:afterLines="30" w:line="400" w:lineRule="exact"/>
              <w:jc w:val="center"/>
              <w:rPr>
                <w:rFonts w:hint="eastAsia" w:ascii="宋体" w:hAnsi="宋体"/>
                <w:sz w:val="24"/>
              </w:rPr>
            </w:pPr>
          </w:p>
        </w:tc>
        <w:tc>
          <w:tcPr>
            <w:tcW w:w="1620" w:type="dxa"/>
            <w:noWrap w:val="0"/>
            <w:vAlign w:val="center"/>
          </w:tcPr>
          <w:p w14:paraId="3DAD5319">
            <w:pPr>
              <w:spacing w:before="93" w:beforeLines="30" w:after="93" w:afterLines="30" w:line="420" w:lineRule="exact"/>
              <w:jc w:val="center"/>
              <w:rPr>
                <w:rFonts w:hint="eastAsia" w:ascii="宋体" w:hAnsi="宋体"/>
                <w:szCs w:val="21"/>
              </w:rPr>
            </w:pPr>
            <w:r>
              <w:rPr>
                <w:rFonts w:hint="eastAsia" w:ascii="宋体" w:hAnsi="宋体"/>
                <w:szCs w:val="21"/>
              </w:rPr>
              <w:t>创新与创业</w:t>
            </w:r>
          </w:p>
        </w:tc>
        <w:tc>
          <w:tcPr>
            <w:tcW w:w="5580" w:type="dxa"/>
            <w:noWrap w:val="0"/>
            <w:vAlign w:val="center"/>
          </w:tcPr>
          <w:p w14:paraId="50D5D77C">
            <w:pPr>
              <w:spacing w:before="93" w:beforeLines="30" w:after="93" w:afterLines="30" w:line="420" w:lineRule="exact"/>
              <w:rPr>
                <w:rFonts w:hint="eastAsia" w:ascii="宋体" w:hAnsi="宋体"/>
                <w:szCs w:val="21"/>
              </w:rPr>
            </w:pPr>
            <w:r>
              <w:rPr>
                <w:rFonts w:hint="eastAsia" w:ascii="宋体" w:hAnsi="宋体"/>
                <w:szCs w:val="21"/>
              </w:rPr>
              <w:t>创新与创新力、创新创业融合、创新思维、创新原理、创新方法、创新能力；</w:t>
            </w:r>
          </w:p>
        </w:tc>
      </w:tr>
      <w:tr w14:paraId="0FF8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noWrap w:val="0"/>
            <w:vAlign w:val="center"/>
          </w:tcPr>
          <w:p w14:paraId="49CD9937">
            <w:pPr>
              <w:spacing w:before="93" w:beforeLines="30" w:after="93" w:afterLines="30" w:line="400" w:lineRule="exact"/>
              <w:jc w:val="center"/>
              <w:rPr>
                <w:rFonts w:hint="eastAsia" w:ascii="宋体" w:hAnsi="宋体"/>
                <w:sz w:val="24"/>
              </w:rPr>
            </w:pPr>
          </w:p>
        </w:tc>
        <w:tc>
          <w:tcPr>
            <w:tcW w:w="1620" w:type="dxa"/>
            <w:noWrap w:val="0"/>
            <w:vAlign w:val="center"/>
          </w:tcPr>
          <w:p w14:paraId="3DB356DC">
            <w:pPr>
              <w:spacing w:before="93" w:beforeLines="30" w:after="93" w:afterLines="30" w:line="420" w:lineRule="exact"/>
              <w:jc w:val="center"/>
              <w:rPr>
                <w:rFonts w:ascii="宋体" w:hAnsi="宋体"/>
                <w:szCs w:val="21"/>
              </w:rPr>
            </w:pPr>
            <w:r>
              <w:rPr>
                <w:rFonts w:hint="eastAsia" w:ascii="宋体" w:hAnsi="宋体"/>
                <w:szCs w:val="21"/>
              </w:rPr>
              <w:t>创业者素质培养</w:t>
            </w:r>
          </w:p>
        </w:tc>
        <w:tc>
          <w:tcPr>
            <w:tcW w:w="5580" w:type="dxa"/>
            <w:noWrap w:val="0"/>
            <w:vAlign w:val="center"/>
          </w:tcPr>
          <w:p w14:paraId="77802F95">
            <w:pPr>
              <w:spacing w:before="93" w:beforeLines="30" w:after="93" w:afterLines="30" w:line="420" w:lineRule="exact"/>
              <w:rPr>
                <w:rFonts w:ascii="宋体" w:hAnsi="宋体"/>
                <w:szCs w:val="21"/>
              </w:rPr>
            </w:pPr>
            <w:r>
              <w:rPr>
                <w:rFonts w:hint="eastAsia" w:ascii="宋体" w:hAnsi="宋体"/>
                <w:szCs w:val="21"/>
              </w:rPr>
              <w:t>创业者自我认知、创业者SWOT分析、创业者素质要求、创业意识培养、创业能力准备；</w:t>
            </w:r>
          </w:p>
        </w:tc>
      </w:tr>
      <w:tr w14:paraId="7B75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noWrap w:val="0"/>
            <w:vAlign w:val="center"/>
          </w:tcPr>
          <w:p w14:paraId="37AE517C">
            <w:pPr>
              <w:spacing w:before="93" w:beforeLines="30" w:after="93" w:afterLines="30" w:line="400" w:lineRule="exact"/>
              <w:jc w:val="center"/>
              <w:rPr>
                <w:rFonts w:hint="eastAsia" w:ascii="宋体" w:hAnsi="宋体"/>
                <w:sz w:val="24"/>
              </w:rPr>
            </w:pPr>
          </w:p>
        </w:tc>
        <w:tc>
          <w:tcPr>
            <w:tcW w:w="1620" w:type="dxa"/>
            <w:noWrap w:val="0"/>
            <w:vAlign w:val="center"/>
          </w:tcPr>
          <w:p w14:paraId="73EFC4CE">
            <w:pPr>
              <w:spacing w:before="93" w:beforeLines="30" w:after="93" w:afterLines="30" w:line="420" w:lineRule="exact"/>
              <w:jc w:val="center"/>
              <w:rPr>
                <w:rFonts w:ascii="宋体" w:hAnsi="宋体"/>
                <w:szCs w:val="21"/>
              </w:rPr>
            </w:pPr>
            <w:r>
              <w:rPr>
                <w:rFonts w:hint="eastAsia" w:ascii="宋体" w:hAnsi="宋体"/>
                <w:szCs w:val="21"/>
              </w:rPr>
              <w:t>创业经验学习</w:t>
            </w:r>
          </w:p>
        </w:tc>
        <w:tc>
          <w:tcPr>
            <w:tcW w:w="5580" w:type="dxa"/>
            <w:noWrap w:val="0"/>
            <w:vAlign w:val="center"/>
          </w:tcPr>
          <w:p w14:paraId="33DB874A">
            <w:pPr>
              <w:spacing w:before="93" w:beforeLines="30" w:after="93" w:afterLines="30" w:line="420" w:lineRule="exact"/>
              <w:rPr>
                <w:rFonts w:ascii="宋体" w:hAnsi="宋体"/>
                <w:szCs w:val="21"/>
              </w:rPr>
            </w:pPr>
            <w:r>
              <w:rPr>
                <w:rFonts w:hint="eastAsia" w:ascii="宋体" w:hAnsi="宋体"/>
                <w:szCs w:val="21"/>
              </w:rPr>
              <w:t>名家创业案例、大学生创业案例、创业成功秘诀、走出创业误区；</w:t>
            </w:r>
          </w:p>
        </w:tc>
      </w:tr>
      <w:tr w14:paraId="73C07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noWrap w:val="0"/>
            <w:vAlign w:val="center"/>
          </w:tcPr>
          <w:p w14:paraId="01E1281A">
            <w:pPr>
              <w:spacing w:before="93" w:beforeLines="30" w:after="93" w:afterLines="30" w:line="400" w:lineRule="exact"/>
              <w:jc w:val="center"/>
              <w:rPr>
                <w:rFonts w:hint="eastAsia" w:ascii="宋体" w:hAnsi="宋体"/>
                <w:sz w:val="24"/>
              </w:rPr>
            </w:pPr>
          </w:p>
        </w:tc>
        <w:tc>
          <w:tcPr>
            <w:tcW w:w="1620" w:type="dxa"/>
            <w:noWrap w:val="0"/>
            <w:vAlign w:val="center"/>
          </w:tcPr>
          <w:p w14:paraId="348CB2CD">
            <w:pPr>
              <w:spacing w:before="93" w:beforeLines="30" w:after="93" w:afterLines="30" w:line="420" w:lineRule="exact"/>
              <w:jc w:val="center"/>
              <w:rPr>
                <w:rFonts w:ascii="宋体" w:hAnsi="宋体"/>
                <w:szCs w:val="21"/>
              </w:rPr>
            </w:pPr>
            <w:r>
              <w:rPr>
                <w:rFonts w:hint="eastAsia" w:ascii="宋体" w:hAnsi="宋体"/>
                <w:szCs w:val="21"/>
              </w:rPr>
              <w:t>创业入门与计划</w:t>
            </w:r>
          </w:p>
        </w:tc>
        <w:tc>
          <w:tcPr>
            <w:tcW w:w="5580" w:type="dxa"/>
            <w:noWrap w:val="0"/>
            <w:vAlign w:val="center"/>
          </w:tcPr>
          <w:p w14:paraId="4DA06D7C">
            <w:pPr>
              <w:spacing w:before="93" w:beforeLines="30" w:after="93" w:afterLines="30" w:line="420" w:lineRule="exact"/>
              <w:rPr>
                <w:rFonts w:ascii="宋体" w:hAnsi="宋体"/>
                <w:szCs w:val="21"/>
              </w:rPr>
            </w:pPr>
            <w:r>
              <w:rPr>
                <w:rFonts w:hint="eastAsia" w:ascii="宋体" w:hAnsi="宋体"/>
                <w:szCs w:val="21"/>
              </w:rPr>
              <w:t>创业环境分析、创业政策法规、创业信息收集、创业目标计划、创业资源储备；</w:t>
            </w:r>
          </w:p>
        </w:tc>
      </w:tr>
      <w:tr w14:paraId="6D54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noWrap w:val="0"/>
            <w:vAlign w:val="center"/>
          </w:tcPr>
          <w:p w14:paraId="20E7265C">
            <w:pPr>
              <w:spacing w:before="93" w:beforeLines="30" w:after="93" w:afterLines="30" w:line="400" w:lineRule="exact"/>
              <w:jc w:val="center"/>
              <w:rPr>
                <w:rFonts w:hint="eastAsia" w:ascii="宋体" w:hAnsi="宋体"/>
                <w:sz w:val="24"/>
              </w:rPr>
            </w:pPr>
          </w:p>
        </w:tc>
        <w:tc>
          <w:tcPr>
            <w:tcW w:w="1620" w:type="dxa"/>
            <w:noWrap w:val="0"/>
            <w:vAlign w:val="center"/>
          </w:tcPr>
          <w:p w14:paraId="14D703D2">
            <w:pPr>
              <w:spacing w:before="93" w:beforeLines="30" w:after="93" w:afterLines="30" w:line="420" w:lineRule="exact"/>
              <w:jc w:val="center"/>
              <w:rPr>
                <w:rFonts w:ascii="宋体" w:hAnsi="宋体"/>
                <w:szCs w:val="21"/>
              </w:rPr>
            </w:pPr>
            <w:r>
              <w:rPr>
                <w:rFonts w:hint="eastAsia" w:ascii="宋体" w:hAnsi="宋体"/>
                <w:szCs w:val="21"/>
              </w:rPr>
              <w:t>创业机会与风险</w:t>
            </w:r>
          </w:p>
        </w:tc>
        <w:tc>
          <w:tcPr>
            <w:tcW w:w="5580" w:type="dxa"/>
            <w:noWrap w:val="0"/>
            <w:vAlign w:val="center"/>
          </w:tcPr>
          <w:p w14:paraId="2B7E30CC">
            <w:pPr>
              <w:spacing w:before="93" w:beforeLines="30" w:after="93" w:afterLines="30" w:line="420" w:lineRule="exact"/>
              <w:rPr>
                <w:rFonts w:ascii="宋体" w:hAnsi="宋体"/>
                <w:szCs w:val="21"/>
              </w:rPr>
            </w:pPr>
            <w:r>
              <w:rPr>
                <w:rFonts w:hint="eastAsia" w:ascii="宋体" w:hAnsi="宋体"/>
                <w:szCs w:val="21"/>
              </w:rPr>
              <w:t>创业调研、创业机会识别、创业策划与评估、创业风险防范；</w:t>
            </w:r>
          </w:p>
        </w:tc>
      </w:tr>
      <w:tr w14:paraId="1DA7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noWrap w:val="0"/>
            <w:vAlign w:val="center"/>
          </w:tcPr>
          <w:p w14:paraId="5C21F6A2">
            <w:pPr>
              <w:spacing w:before="93" w:beforeLines="30" w:after="93" w:afterLines="30" w:line="400" w:lineRule="exact"/>
              <w:jc w:val="center"/>
              <w:rPr>
                <w:rFonts w:hint="eastAsia" w:ascii="宋体" w:hAnsi="宋体"/>
                <w:sz w:val="24"/>
              </w:rPr>
            </w:pPr>
          </w:p>
        </w:tc>
        <w:tc>
          <w:tcPr>
            <w:tcW w:w="1620" w:type="dxa"/>
            <w:noWrap w:val="0"/>
            <w:vAlign w:val="center"/>
          </w:tcPr>
          <w:p w14:paraId="2B8E1079">
            <w:pPr>
              <w:spacing w:before="93" w:beforeLines="30" w:after="93" w:afterLines="30" w:line="420" w:lineRule="exact"/>
              <w:jc w:val="center"/>
              <w:rPr>
                <w:rFonts w:ascii="宋体" w:hAnsi="宋体"/>
                <w:szCs w:val="21"/>
              </w:rPr>
            </w:pPr>
            <w:r>
              <w:rPr>
                <w:rFonts w:hint="eastAsia" w:ascii="宋体" w:hAnsi="宋体"/>
                <w:szCs w:val="21"/>
              </w:rPr>
              <w:t>创业基本程序</w:t>
            </w:r>
          </w:p>
        </w:tc>
        <w:tc>
          <w:tcPr>
            <w:tcW w:w="5580" w:type="dxa"/>
            <w:noWrap w:val="0"/>
            <w:vAlign w:val="center"/>
          </w:tcPr>
          <w:p w14:paraId="1D66B718">
            <w:pPr>
              <w:spacing w:before="93" w:beforeLines="30" w:after="93" w:afterLines="30" w:line="420" w:lineRule="exact"/>
              <w:rPr>
                <w:rFonts w:ascii="宋体" w:hAnsi="宋体"/>
                <w:szCs w:val="21"/>
              </w:rPr>
            </w:pPr>
            <w:r>
              <w:rPr>
                <w:rFonts w:hint="eastAsia" w:ascii="宋体" w:hAnsi="宋体"/>
                <w:szCs w:val="21"/>
              </w:rPr>
              <w:t>创业计划书、创业团队组建、创业资金筹备、商业模式设计、选址分析、注册创办企业、新企业运行；</w:t>
            </w:r>
          </w:p>
        </w:tc>
      </w:tr>
      <w:tr w14:paraId="6C63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noWrap w:val="0"/>
            <w:vAlign w:val="center"/>
          </w:tcPr>
          <w:p w14:paraId="04E47CF8">
            <w:pPr>
              <w:spacing w:before="93" w:beforeLines="30" w:after="93" w:afterLines="30" w:line="400" w:lineRule="exact"/>
              <w:jc w:val="center"/>
              <w:rPr>
                <w:rFonts w:hint="eastAsia" w:ascii="宋体" w:hAnsi="宋体"/>
                <w:sz w:val="24"/>
              </w:rPr>
            </w:pPr>
          </w:p>
        </w:tc>
        <w:tc>
          <w:tcPr>
            <w:tcW w:w="1620" w:type="dxa"/>
            <w:noWrap w:val="0"/>
            <w:vAlign w:val="center"/>
          </w:tcPr>
          <w:p w14:paraId="5263EC9D">
            <w:pPr>
              <w:spacing w:before="93" w:beforeLines="30" w:after="93" w:afterLines="30" w:line="420" w:lineRule="exact"/>
              <w:jc w:val="center"/>
              <w:rPr>
                <w:rFonts w:hint="eastAsia" w:ascii="宋体" w:hAnsi="宋体"/>
                <w:szCs w:val="21"/>
              </w:rPr>
            </w:pPr>
            <w:r>
              <w:rPr>
                <w:rFonts w:hint="eastAsia" w:ascii="宋体" w:hAnsi="宋体"/>
                <w:szCs w:val="21"/>
              </w:rPr>
              <w:t>行业创业指导</w:t>
            </w:r>
          </w:p>
        </w:tc>
        <w:tc>
          <w:tcPr>
            <w:tcW w:w="5580" w:type="dxa"/>
            <w:noWrap w:val="0"/>
            <w:vAlign w:val="center"/>
          </w:tcPr>
          <w:p w14:paraId="348D8797">
            <w:pPr>
              <w:spacing w:before="93" w:beforeLines="30" w:after="93" w:afterLines="30" w:line="420" w:lineRule="exact"/>
              <w:rPr>
                <w:rFonts w:hint="eastAsia" w:ascii="宋体" w:hAnsi="宋体"/>
                <w:szCs w:val="21"/>
              </w:rPr>
            </w:pPr>
            <w:r>
              <w:rPr>
                <w:rFonts w:hint="eastAsia" w:ascii="宋体" w:hAnsi="宋体"/>
                <w:szCs w:val="21"/>
              </w:rPr>
              <w:t>电子商务、消费零售、投资金融、传媒广告、互联网IT、汽车交通、物流配送、餐饮酒店、旅游户外、房产服务、文化体育、医疗健康、服饰美容、教育培训、通讯摄影、社交娱乐、其他行业；</w:t>
            </w:r>
          </w:p>
        </w:tc>
      </w:tr>
      <w:tr w14:paraId="3C3E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noWrap w:val="0"/>
            <w:vAlign w:val="center"/>
          </w:tcPr>
          <w:p w14:paraId="5B8241CF">
            <w:pPr>
              <w:spacing w:before="93" w:beforeLines="30" w:after="93" w:afterLines="30" w:line="400" w:lineRule="exact"/>
              <w:jc w:val="center"/>
              <w:rPr>
                <w:rFonts w:hint="eastAsia" w:ascii="宋体" w:hAnsi="宋体"/>
                <w:sz w:val="24"/>
              </w:rPr>
            </w:pPr>
          </w:p>
        </w:tc>
        <w:tc>
          <w:tcPr>
            <w:tcW w:w="1620" w:type="dxa"/>
            <w:noWrap w:val="0"/>
            <w:vAlign w:val="center"/>
          </w:tcPr>
          <w:p w14:paraId="032C13A7">
            <w:pPr>
              <w:spacing w:before="93" w:beforeLines="30" w:after="93" w:afterLines="30" w:line="420" w:lineRule="exact"/>
              <w:jc w:val="center"/>
              <w:rPr>
                <w:rFonts w:hint="eastAsia" w:ascii="宋体" w:hAnsi="宋体"/>
                <w:szCs w:val="21"/>
              </w:rPr>
            </w:pPr>
            <w:r>
              <w:rPr>
                <w:rFonts w:hint="eastAsia" w:ascii="宋体" w:hAnsi="宋体"/>
                <w:szCs w:val="21"/>
              </w:rPr>
              <w:t>创业企业成长</w:t>
            </w:r>
          </w:p>
        </w:tc>
        <w:tc>
          <w:tcPr>
            <w:tcW w:w="5580" w:type="dxa"/>
            <w:noWrap w:val="0"/>
            <w:vAlign w:val="center"/>
          </w:tcPr>
          <w:p w14:paraId="08175D2F">
            <w:pPr>
              <w:spacing w:before="93" w:beforeLines="30" w:after="93" w:afterLines="30" w:line="420" w:lineRule="exact"/>
              <w:rPr>
                <w:rFonts w:hint="eastAsia" w:ascii="宋体" w:hAnsi="宋体"/>
                <w:szCs w:val="21"/>
              </w:rPr>
            </w:pPr>
            <w:r>
              <w:rPr>
                <w:rFonts w:hint="eastAsia" w:ascii="宋体" w:hAnsi="宋体"/>
                <w:szCs w:val="21"/>
              </w:rPr>
              <w:t>生产管理、市场营销、客户服务、财务管理、法务管理、知识产权管理、人力资源管理、品牌建设、企业文化建设、企业股份管理、企业兼并与重组、投资融资、企业上市管理；</w:t>
            </w:r>
          </w:p>
        </w:tc>
      </w:tr>
      <w:tr w14:paraId="18A0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noWrap w:val="0"/>
            <w:vAlign w:val="center"/>
          </w:tcPr>
          <w:p w14:paraId="627CB0F0">
            <w:pPr>
              <w:spacing w:before="93" w:beforeLines="30" w:after="93" w:afterLines="30" w:line="400" w:lineRule="exact"/>
              <w:jc w:val="center"/>
              <w:rPr>
                <w:rFonts w:hint="eastAsia" w:ascii="宋体" w:hAnsi="宋体"/>
                <w:sz w:val="24"/>
              </w:rPr>
            </w:pPr>
          </w:p>
        </w:tc>
        <w:tc>
          <w:tcPr>
            <w:tcW w:w="1620" w:type="dxa"/>
            <w:noWrap w:val="0"/>
            <w:vAlign w:val="center"/>
          </w:tcPr>
          <w:p w14:paraId="3FE7FA78">
            <w:pPr>
              <w:spacing w:before="93" w:beforeLines="30" w:after="93" w:afterLines="30" w:line="420" w:lineRule="exact"/>
              <w:jc w:val="center"/>
              <w:rPr>
                <w:rFonts w:hint="eastAsia" w:ascii="宋体" w:hAnsi="宋体"/>
                <w:szCs w:val="21"/>
              </w:rPr>
            </w:pPr>
            <w:r>
              <w:rPr>
                <w:rFonts w:hint="eastAsia" w:ascii="宋体" w:hAnsi="宋体"/>
                <w:szCs w:val="21"/>
              </w:rPr>
              <w:t>创业者素质提升</w:t>
            </w:r>
          </w:p>
        </w:tc>
        <w:tc>
          <w:tcPr>
            <w:tcW w:w="5580" w:type="dxa"/>
            <w:noWrap w:val="0"/>
            <w:vAlign w:val="center"/>
          </w:tcPr>
          <w:p w14:paraId="205FB0DC">
            <w:pPr>
              <w:spacing w:before="93" w:beforeLines="30" w:after="93" w:afterLines="30" w:line="420" w:lineRule="exact"/>
              <w:rPr>
                <w:rFonts w:hint="eastAsia" w:ascii="宋体" w:hAnsi="宋体"/>
                <w:szCs w:val="21"/>
              </w:rPr>
            </w:pPr>
            <w:r>
              <w:rPr>
                <w:rFonts w:hint="eastAsia" w:ascii="宋体" w:hAnsi="宋体"/>
                <w:szCs w:val="21"/>
              </w:rPr>
              <w:t>领导能力素养、团队管理技能、项目管理技能、工作管理技能、创新能力提升、问题解决能力；</w:t>
            </w:r>
          </w:p>
        </w:tc>
      </w:tr>
      <w:tr w14:paraId="1F01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noWrap w:val="0"/>
            <w:vAlign w:val="center"/>
          </w:tcPr>
          <w:p w14:paraId="29D0C3A1">
            <w:pPr>
              <w:spacing w:before="93" w:beforeLines="30" w:after="93" w:afterLines="30" w:line="400" w:lineRule="exact"/>
              <w:jc w:val="center"/>
              <w:rPr>
                <w:rFonts w:hint="eastAsia" w:ascii="宋体" w:hAnsi="宋体"/>
                <w:sz w:val="24"/>
              </w:rPr>
            </w:pPr>
          </w:p>
        </w:tc>
        <w:tc>
          <w:tcPr>
            <w:tcW w:w="1620" w:type="dxa"/>
            <w:noWrap w:val="0"/>
            <w:vAlign w:val="center"/>
          </w:tcPr>
          <w:p w14:paraId="3B3E989F">
            <w:pPr>
              <w:spacing w:before="93" w:beforeLines="30" w:after="93" w:afterLines="30" w:line="420" w:lineRule="exact"/>
              <w:jc w:val="center"/>
              <w:rPr>
                <w:rFonts w:hint="eastAsia" w:ascii="宋体" w:hAnsi="宋体"/>
                <w:szCs w:val="21"/>
              </w:rPr>
            </w:pPr>
            <w:r>
              <w:rPr>
                <w:rFonts w:hint="eastAsia" w:ascii="宋体" w:hAnsi="宋体"/>
                <w:szCs w:val="21"/>
              </w:rPr>
              <w:t>创业致胜战略</w:t>
            </w:r>
          </w:p>
        </w:tc>
        <w:tc>
          <w:tcPr>
            <w:tcW w:w="5580" w:type="dxa"/>
            <w:noWrap w:val="0"/>
            <w:vAlign w:val="center"/>
          </w:tcPr>
          <w:p w14:paraId="0E5B4D8F">
            <w:pPr>
              <w:spacing w:before="93" w:beforeLines="30" w:after="93" w:afterLines="30" w:line="420" w:lineRule="exact"/>
              <w:rPr>
                <w:rFonts w:hint="eastAsia" w:ascii="宋体" w:hAnsi="宋体"/>
                <w:szCs w:val="21"/>
              </w:rPr>
            </w:pPr>
            <w:r>
              <w:rPr>
                <w:rFonts w:hint="eastAsia" w:ascii="宋体" w:hAnsi="宋体"/>
                <w:szCs w:val="21"/>
              </w:rPr>
              <w:t>竞争模式分析、创意致胜战略、产品领先战略、渠道致胜战略、服务致胜战略。</w:t>
            </w:r>
          </w:p>
        </w:tc>
      </w:tr>
    </w:tbl>
    <w:p w14:paraId="7F69DCE8">
      <w:pPr>
        <w:numPr>
          <w:ilvl w:val="0"/>
          <w:numId w:val="0"/>
        </w:numPr>
        <w:spacing w:before="156" w:beforeLines="50" w:after="156" w:afterLines="50" w:line="500" w:lineRule="exact"/>
        <w:ind w:firstLine="480" w:firstLineChars="200"/>
        <w:rPr>
          <w:rFonts w:hint="eastAsia" w:ascii="宋体" w:hAnsi="宋体"/>
          <w:sz w:val="24"/>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03F5F">
    <w:pPr>
      <w:pStyle w:val="5"/>
    </w:pPr>
    <w:r>
      <w:drawing>
        <wp:anchor distT="0" distB="0" distL="114300" distR="114300" simplePos="0" relativeHeight="251659264" behindDoc="1" locked="0" layoutInCell="1" allowOverlap="1">
          <wp:simplePos x="0" y="0"/>
          <wp:positionH relativeFrom="column">
            <wp:posOffset>4157980</wp:posOffset>
          </wp:positionH>
          <wp:positionV relativeFrom="paragraph">
            <wp:posOffset>-91440</wp:posOffset>
          </wp:positionV>
          <wp:extent cx="1028700" cy="236220"/>
          <wp:effectExtent l="0" t="0" r="0" b="0"/>
          <wp:wrapTight wrapText="bothSides">
            <wp:wrapPolygon>
              <wp:start x="0" y="0"/>
              <wp:lineTo x="0" y="19161"/>
              <wp:lineTo x="21200" y="19161"/>
              <wp:lineTo x="21200"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28700" cy="236220"/>
                  </a:xfrm>
                  <a:prstGeom prst="rect">
                    <a:avLst/>
                  </a:prstGeom>
                  <a:noFill/>
                  <a:ln>
                    <a:noFill/>
                  </a:ln>
                </pic:spPr>
              </pic:pic>
            </a:graphicData>
          </a:graphic>
        </wp:anchor>
      </w:drawing>
    </w:r>
  </w:p>
  <w:p w14:paraId="02AC04CC">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33891"/>
    <w:multiLevelType w:val="singleLevel"/>
    <w:tmpl w:val="AE933891"/>
    <w:lvl w:ilvl="0" w:tentative="0">
      <w:start w:val="1"/>
      <w:numFmt w:val="decimal"/>
      <w:suff w:val="space"/>
      <w:lvlText w:val="%1."/>
      <w:lvlJc w:val="left"/>
    </w:lvl>
  </w:abstractNum>
  <w:abstractNum w:abstractNumId="1">
    <w:nsid w:val="3CCE6AB9"/>
    <w:multiLevelType w:val="multilevel"/>
    <w:tmpl w:val="3CCE6AB9"/>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42FF29EC"/>
    <w:multiLevelType w:val="singleLevel"/>
    <w:tmpl w:val="42FF29EC"/>
    <w:lvl w:ilvl="0" w:tentative="0">
      <w:start w:val="4"/>
      <w:numFmt w:val="decimal"/>
      <w:suff w:val="nothing"/>
      <w:lvlText w:val="（%1）"/>
      <w:lvlJc w:val="left"/>
    </w:lvl>
  </w:abstractNum>
  <w:abstractNum w:abstractNumId="3">
    <w:nsid w:val="4D47CF4F"/>
    <w:multiLevelType w:val="singleLevel"/>
    <w:tmpl w:val="4D47CF4F"/>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4MTU1N2U1NDkyZmYyYzMzZjlmN2ZhMTM0MWVjZWQifQ=="/>
  </w:docVars>
  <w:rsids>
    <w:rsidRoot w:val="00517EDA"/>
    <w:rsid w:val="0004003C"/>
    <w:rsid w:val="00125028"/>
    <w:rsid w:val="001F122C"/>
    <w:rsid w:val="002546D5"/>
    <w:rsid w:val="00292279"/>
    <w:rsid w:val="002D4FA5"/>
    <w:rsid w:val="003442FD"/>
    <w:rsid w:val="003A356B"/>
    <w:rsid w:val="003F75DB"/>
    <w:rsid w:val="004E265E"/>
    <w:rsid w:val="00517EDA"/>
    <w:rsid w:val="0057140C"/>
    <w:rsid w:val="00573CF1"/>
    <w:rsid w:val="005B68CE"/>
    <w:rsid w:val="00643D7A"/>
    <w:rsid w:val="006C622A"/>
    <w:rsid w:val="006D5688"/>
    <w:rsid w:val="006E6577"/>
    <w:rsid w:val="0077224E"/>
    <w:rsid w:val="00775E11"/>
    <w:rsid w:val="007C6844"/>
    <w:rsid w:val="00870202"/>
    <w:rsid w:val="00892F70"/>
    <w:rsid w:val="00961127"/>
    <w:rsid w:val="009D0E8D"/>
    <w:rsid w:val="00A80E59"/>
    <w:rsid w:val="00AB7EF3"/>
    <w:rsid w:val="00B33FC5"/>
    <w:rsid w:val="00BA17C5"/>
    <w:rsid w:val="00BD0AA3"/>
    <w:rsid w:val="00BD79E3"/>
    <w:rsid w:val="00C15BDA"/>
    <w:rsid w:val="00C15CA5"/>
    <w:rsid w:val="00C16D58"/>
    <w:rsid w:val="00CC144E"/>
    <w:rsid w:val="00D111CB"/>
    <w:rsid w:val="00D23AB7"/>
    <w:rsid w:val="00F21930"/>
    <w:rsid w:val="00F562E5"/>
    <w:rsid w:val="00FD79E0"/>
    <w:rsid w:val="17AF353E"/>
    <w:rsid w:val="1E2E406B"/>
    <w:rsid w:val="1E522E75"/>
    <w:rsid w:val="39A24859"/>
    <w:rsid w:val="59094320"/>
    <w:rsid w:val="65997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qFormat/>
    <w:uiPriority w:val="0"/>
    <w:pPr>
      <w:keepNext/>
      <w:keepLines/>
      <w:spacing w:before="260" w:after="260" w:line="413" w:lineRule="auto"/>
      <w:outlineLvl w:val="1"/>
    </w:pPr>
    <w:rPr>
      <w:rFonts w:ascii="Arial" w:hAnsi="Arial" w:eastAsia="黑体" w:cs="Times New Roman"/>
      <w:b/>
      <w:sz w:val="32"/>
      <w:szCs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1"/>
    <w:semiHidden/>
    <w:unhideWhenUsed/>
    <w:qFormat/>
    <w:uiPriority w:val="99"/>
    <w:rPr>
      <w:rFonts w:ascii="Microsoft YaHei UI" w:eastAsia="Microsoft YaHei UI"/>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w:basedOn w:val="1"/>
    <w:qFormat/>
    <w:uiPriority w:val="0"/>
    <w:pPr>
      <w:ind w:left="200" w:hanging="200" w:hangingChars="200"/>
    </w:pPr>
    <w:rPr>
      <w:rFonts w:ascii="Times New Roman" w:hAnsi="Times New Roman" w:eastAsia="宋体" w:cs="Times New Roman"/>
      <w:szCs w:val="24"/>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Char Char2"/>
    <w:basedOn w:val="3"/>
    <w:qFormat/>
    <w:uiPriority w:val="0"/>
    <w:pPr>
      <w:shd w:val="clear" w:color="auto" w:fill="000080"/>
    </w:pPr>
    <w:rPr>
      <w:rFonts w:ascii="Times New Roman" w:hAnsi="Times New Roman" w:eastAsia="宋体" w:cs="Times New Roman"/>
      <w:sz w:val="21"/>
      <w:szCs w:val="24"/>
    </w:rPr>
  </w:style>
  <w:style w:type="character" w:customStyle="1" w:styleId="11">
    <w:name w:val="文档结构图 字符"/>
    <w:basedOn w:val="9"/>
    <w:link w:val="3"/>
    <w:semiHidden/>
    <w:qFormat/>
    <w:uiPriority w:val="99"/>
    <w:rPr>
      <w:rFonts w:ascii="Microsoft YaHei UI" w:eastAsia="Microsoft YaHei UI"/>
      <w:sz w:val="18"/>
      <w:szCs w:val="18"/>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_Style 14"/>
    <w:basedOn w:val="1"/>
    <w:next w:val="14"/>
    <w:qFormat/>
    <w:uiPriority w:val="99"/>
    <w:pPr>
      <w:ind w:firstLine="420" w:firstLineChars="200"/>
    </w:pPr>
    <w:rPr>
      <w:rFonts w:ascii="Times New Roman" w:hAnsi="Times New Roman" w:eastAsia="宋体" w:cs="Times New Roman"/>
      <w:szCs w:val="24"/>
    </w:rPr>
  </w:style>
  <w:style w:type="character" w:customStyle="1" w:styleId="16">
    <w:name w:val="标题 2 字符"/>
    <w:basedOn w:val="9"/>
    <w:link w:val="2"/>
    <w:qFormat/>
    <w:uiPriority w:val="0"/>
    <w:rPr>
      <w:rFonts w:ascii="Arial" w:hAnsi="Arial" w:eastAsia="黑体" w:cs="Times New Roman"/>
      <w:b/>
      <w:sz w:val="32"/>
      <w:szCs w:val="24"/>
    </w:rPr>
  </w:style>
  <w:style w:type="paragraph" w:customStyle="1" w:styleId="17">
    <w:name w:val="列出段落3"/>
    <w:basedOn w:val="1"/>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11617</Words>
  <Characters>12038</Characters>
  <Lines>64</Lines>
  <Paragraphs>18</Paragraphs>
  <TotalTime>5</TotalTime>
  <ScaleCrop>false</ScaleCrop>
  <LinksUpToDate>false</LinksUpToDate>
  <CharactersWithSpaces>12104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2021-10-22T04:39:00Z</dcterms:created>
  <dc:creator>谭明君</dc:creator>
  <cp:lastModifiedBy>米俊伟^_^</cp:lastModifiedBy>
  <dcterms:modified xsi:type="dcterms:W3CDTF">2024-09-14T05:19:43Z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FCCCD4BFFBE847AF8087DE46E7745F62_13</vt:lpwstr>
  </property>
</Properties>
</file>